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6C124A48" w:rsidR="006F40BC" w:rsidRPr="002C136E" w:rsidRDefault="006F40BC" w:rsidP="00016124">
            <w:pPr>
              <w:tabs>
                <w:tab w:val="right" w:pos="10000"/>
              </w:tabs>
              <w:spacing w:after="0"/>
              <w:jc w:val="both"/>
              <w:rPr>
                <w:b/>
                <w:sz w:val="22"/>
                <w:szCs w:val="24"/>
              </w:rPr>
            </w:pPr>
            <w:r w:rsidRPr="002C136E">
              <w:rPr>
                <w:b/>
                <w:sz w:val="22"/>
                <w:szCs w:val="24"/>
              </w:rPr>
              <w:t>3GPP TSG-RAN WG1 Meeting #</w:t>
            </w:r>
            <w:r w:rsidR="00782900" w:rsidRPr="002C136E">
              <w:rPr>
                <w:b/>
                <w:sz w:val="22"/>
                <w:szCs w:val="24"/>
              </w:rPr>
              <w:t>10</w:t>
            </w:r>
            <w:r w:rsidR="00A559FB">
              <w:rPr>
                <w:b/>
                <w:sz w:val="22"/>
                <w:szCs w:val="24"/>
              </w:rPr>
              <w:t>4e</w:t>
            </w:r>
            <w:r w:rsidRPr="002C136E">
              <w:rPr>
                <w:b/>
                <w:sz w:val="22"/>
                <w:szCs w:val="24"/>
              </w:rPr>
              <w:tab/>
            </w:r>
          </w:p>
          <w:p w14:paraId="1EC84673" w14:textId="318FC143" w:rsidR="006F40BC" w:rsidRPr="002C136E" w:rsidRDefault="005F6F46" w:rsidP="00016124">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A559FB">
              <w:rPr>
                <w:rFonts w:ascii="Times New Roman" w:hAnsi="Times New Roman"/>
                <w:i w:val="0"/>
                <w:noProof w:val="0"/>
                <w:sz w:val="22"/>
                <w:szCs w:val="24"/>
              </w:rPr>
              <w:t>January</w:t>
            </w:r>
            <w:r w:rsidR="00A559FB" w:rsidRPr="002C136E">
              <w:rPr>
                <w:rFonts w:ascii="Times New Roman" w:hAnsi="Times New Roman"/>
                <w:i w:val="0"/>
                <w:noProof w:val="0"/>
                <w:sz w:val="22"/>
                <w:szCs w:val="24"/>
              </w:rPr>
              <w:t xml:space="preserve"> </w:t>
            </w:r>
            <w:r w:rsidRPr="002C136E">
              <w:rPr>
                <w:rFonts w:ascii="Times New Roman" w:hAnsi="Times New Roman"/>
                <w:i w:val="0"/>
                <w:noProof w:val="0"/>
                <w:sz w:val="22"/>
                <w:szCs w:val="24"/>
              </w:rPr>
              <w:t>25</w:t>
            </w:r>
            <w:r w:rsidRPr="002C136E">
              <w:rPr>
                <w:rFonts w:ascii="Times New Roman" w:hAnsi="Times New Roman"/>
                <w:i w:val="0"/>
                <w:noProof w:val="0"/>
                <w:sz w:val="22"/>
                <w:szCs w:val="24"/>
                <w:vertAlign w:val="superscript"/>
              </w:rPr>
              <w:t>th</w:t>
            </w:r>
            <w:r w:rsidRPr="002C136E">
              <w:rPr>
                <w:rFonts w:ascii="Times New Roman" w:hAnsi="Times New Roman"/>
                <w:i w:val="0"/>
                <w:noProof w:val="0"/>
                <w:sz w:val="22"/>
                <w:szCs w:val="24"/>
              </w:rPr>
              <w:t xml:space="preserve"> – </w:t>
            </w:r>
            <w:r w:rsidR="00A559FB">
              <w:rPr>
                <w:rFonts w:ascii="Times New Roman" w:hAnsi="Times New Roman"/>
                <w:i w:val="0"/>
                <w:noProof w:val="0"/>
                <w:sz w:val="22"/>
                <w:szCs w:val="24"/>
              </w:rPr>
              <w:t>February</w:t>
            </w:r>
            <w:r w:rsidR="00A559FB" w:rsidRPr="002C136E">
              <w:rPr>
                <w:rFonts w:ascii="Times New Roman" w:hAnsi="Times New Roman"/>
                <w:i w:val="0"/>
                <w:noProof w:val="0"/>
                <w:sz w:val="22"/>
                <w:szCs w:val="24"/>
              </w:rPr>
              <w:t xml:space="preserve"> </w:t>
            </w:r>
            <w:r w:rsidRPr="002C136E">
              <w:rPr>
                <w:rFonts w:ascii="Times New Roman" w:hAnsi="Times New Roman"/>
                <w:i w:val="0"/>
                <w:noProof w:val="0"/>
                <w:sz w:val="22"/>
                <w:szCs w:val="24"/>
              </w:rPr>
              <w:t>5</w:t>
            </w:r>
            <w:r w:rsidRPr="002C136E">
              <w:rPr>
                <w:rFonts w:ascii="Times New Roman" w:hAnsi="Times New Roman"/>
                <w:i w:val="0"/>
                <w:noProof w:val="0"/>
                <w:sz w:val="22"/>
                <w:szCs w:val="24"/>
                <w:vertAlign w:val="superscript"/>
              </w:rPr>
              <w:t>th</w:t>
            </w:r>
            <w:r w:rsidR="006F40BC" w:rsidRPr="002C136E">
              <w:rPr>
                <w:rFonts w:ascii="Times New Roman" w:hAnsi="Times New Roman"/>
                <w:i w:val="0"/>
                <w:noProof w:val="0"/>
                <w:sz w:val="22"/>
                <w:szCs w:val="24"/>
              </w:rPr>
              <w:t xml:space="preserve">, </w:t>
            </w:r>
            <w:r w:rsidR="00D9584E" w:rsidRPr="002C136E">
              <w:rPr>
                <w:rFonts w:ascii="Times New Roman" w:hAnsi="Times New Roman"/>
                <w:i w:val="0"/>
                <w:noProof w:val="0"/>
                <w:sz w:val="22"/>
                <w:szCs w:val="24"/>
              </w:rPr>
              <w:t>202</w:t>
            </w:r>
            <w:r w:rsidR="00D9584E">
              <w:rPr>
                <w:rFonts w:ascii="Times New Roman" w:hAnsi="Times New Roman"/>
                <w:i w:val="0"/>
                <w:noProof w:val="0"/>
                <w:sz w:val="22"/>
                <w:szCs w:val="24"/>
              </w:rPr>
              <w:t>1</w:t>
            </w:r>
          </w:p>
        </w:tc>
        <w:tc>
          <w:tcPr>
            <w:tcW w:w="2766" w:type="dxa"/>
          </w:tcPr>
          <w:p w14:paraId="04437A8E" w14:textId="72F5F051" w:rsidR="006F40BC" w:rsidRPr="002C136E" w:rsidRDefault="00721FFC" w:rsidP="00016124">
            <w:pPr>
              <w:tabs>
                <w:tab w:val="right" w:pos="10000"/>
              </w:tabs>
              <w:spacing w:after="0"/>
              <w:jc w:val="right"/>
              <w:rPr>
                <w:bCs/>
                <w:sz w:val="22"/>
                <w:szCs w:val="24"/>
              </w:rPr>
            </w:pPr>
            <w:r w:rsidRPr="00721FFC">
              <w:rPr>
                <w:b/>
                <w:sz w:val="22"/>
                <w:szCs w:val="24"/>
              </w:rPr>
              <w:t>R1-</w:t>
            </w:r>
            <w:r w:rsidR="008243A9">
              <w:rPr>
                <w:b/>
                <w:sz w:val="22"/>
                <w:szCs w:val="24"/>
              </w:rPr>
              <w:t>21</w:t>
            </w:r>
            <w:r w:rsidR="004B6301">
              <w:rPr>
                <w:b/>
                <w:sz w:val="22"/>
                <w:szCs w:val="24"/>
              </w:rPr>
              <w:t>01478</w:t>
            </w:r>
          </w:p>
        </w:tc>
      </w:tr>
    </w:tbl>
    <w:p w14:paraId="24B66D98" w14:textId="77777777" w:rsidR="00746535" w:rsidRPr="002C136E" w:rsidRDefault="00746535" w:rsidP="00016124">
      <w:pPr>
        <w:pStyle w:val="Footer"/>
        <w:jc w:val="both"/>
        <w:rPr>
          <w:rFonts w:ascii="Times New Roman" w:hAnsi="Times New Roman"/>
          <w:noProof w:val="0"/>
          <w:sz w:val="16"/>
        </w:rPr>
      </w:pPr>
      <w:bookmarkStart w:id="0" w:name="_Hlk495298459"/>
    </w:p>
    <w:p w14:paraId="0597369D" w14:textId="13495EAB" w:rsidR="00746535" w:rsidRPr="002C136E" w:rsidRDefault="00746535" w:rsidP="00016124">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w:t>
      </w:r>
      <w:r w:rsidR="000B1540">
        <w:rPr>
          <w:sz w:val="22"/>
        </w:rPr>
        <w:t>2</w:t>
      </w:r>
    </w:p>
    <w:p w14:paraId="1516E913" w14:textId="77777777" w:rsidR="00746535" w:rsidRPr="002C136E" w:rsidRDefault="00746535" w:rsidP="00016124">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651885DA" w:rsidR="00746535" w:rsidRPr="002C136E" w:rsidRDefault="00746535" w:rsidP="00016124">
      <w:pPr>
        <w:ind w:left="1988" w:hanging="1988"/>
        <w:jc w:val="both"/>
        <w:rPr>
          <w:sz w:val="22"/>
        </w:rPr>
      </w:pPr>
      <w:r w:rsidRPr="002C136E">
        <w:rPr>
          <w:b/>
          <w:sz w:val="24"/>
        </w:rPr>
        <w:t>Title:</w:t>
      </w:r>
      <w:r w:rsidRPr="002C136E">
        <w:rPr>
          <w:sz w:val="24"/>
        </w:rPr>
        <w:t xml:space="preserve"> </w:t>
      </w:r>
      <w:r w:rsidRPr="002C136E">
        <w:rPr>
          <w:sz w:val="22"/>
        </w:rPr>
        <w:tab/>
      </w:r>
      <w:r w:rsidR="00D52C88" w:rsidRPr="00D52C88">
        <w:t xml:space="preserve"> </w:t>
      </w:r>
      <w:r w:rsidR="00662FEF">
        <w:rPr>
          <w:sz w:val="22"/>
        </w:rPr>
        <w:t xml:space="preserve">TB Processing over multi-slot </w:t>
      </w:r>
      <w:r w:rsidR="00D52C88" w:rsidRPr="00D52C88">
        <w:rPr>
          <w:sz w:val="22"/>
        </w:rPr>
        <w:t>PUSCH</w:t>
      </w:r>
    </w:p>
    <w:bookmarkEnd w:id="0"/>
    <w:p w14:paraId="0E23AC92" w14:textId="77777777" w:rsidR="00746535" w:rsidRPr="002C136E" w:rsidRDefault="00746535" w:rsidP="00016124">
      <w:pPr>
        <w:ind w:left="1988" w:hanging="1988"/>
        <w:jc w:val="both"/>
        <w:rPr>
          <w:sz w:val="22"/>
        </w:rPr>
      </w:pPr>
      <w:r w:rsidRPr="002C136E">
        <w:rPr>
          <w:b/>
          <w:sz w:val="22"/>
        </w:rPr>
        <w:t>Document for:</w:t>
      </w:r>
      <w:r w:rsidRPr="002C136E">
        <w:rPr>
          <w:sz w:val="22"/>
        </w:rPr>
        <w:tab/>
        <w:t>Discussion/Decision</w:t>
      </w:r>
    </w:p>
    <w:p w14:paraId="09A00AF9" w14:textId="630C8C84" w:rsidR="00746535" w:rsidRPr="002C136E" w:rsidRDefault="00746535" w:rsidP="00016124">
      <w:pPr>
        <w:pStyle w:val="Heading1"/>
        <w:jc w:val="both"/>
        <w:rPr>
          <w:rFonts w:ascii="Times New Roman" w:hAnsi="Times New Roman"/>
          <w:lang w:val="en-US"/>
        </w:rPr>
      </w:pPr>
      <w:r w:rsidRPr="002C136E">
        <w:rPr>
          <w:rFonts w:ascii="Times New Roman" w:hAnsi="Times New Roman"/>
          <w:lang w:val="en-US"/>
        </w:rPr>
        <w:t>Introduction</w:t>
      </w:r>
    </w:p>
    <w:p w14:paraId="0AE3351D" w14:textId="77777777" w:rsidR="000940B2" w:rsidRDefault="000940B2" w:rsidP="00016124">
      <w:pPr>
        <w:jc w:val="both"/>
        <w:rPr>
          <w:lang w:eastAsia="zh-CN"/>
        </w:rPr>
      </w:pPr>
      <w:r>
        <w:rPr>
          <w:lang w:eastAsia="zh-CN"/>
        </w:rPr>
        <w:t>Following the conclusion of RAN1-103e and RAN-90e meetings, the following enhancement to PUSCH was agreed to be specified as part of the coverage enhancements WID in RP-202928:</w:t>
      </w:r>
    </w:p>
    <w:p w14:paraId="632AAA50" w14:textId="77777777" w:rsidR="000940B2" w:rsidRDefault="000940B2" w:rsidP="00016124">
      <w:pPr>
        <w:numPr>
          <w:ilvl w:val="0"/>
          <w:numId w:val="38"/>
        </w:numPr>
        <w:overflowPunct/>
        <w:autoSpaceDE/>
        <w:autoSpaceDN/>
        <w:adjustRightInd/>
        <w:spacing w:before="120" w:after="120" w:line="276" w:lineRule="auto"/>
        <w:jc w:val="both"/>
        <w:textAlignment w:val="auto"/>
      </w:pPr>
      <w:r>
        <w:t xml:space="preserve">Specify mechanism(s) to support </w:t>
      </w:r>
      <w:r w:rsidRPr="009B1998">
        <w:t>TB processing over multi-slot PUSCH</w:t>
      </w:r>
      <w:r>
        <w:t xml:space="preserve"> [RAN1]</w:t>
      </w:r>
    </w:p>
    <w:p w14:paraId="76D4ABA1" w14:textId="77777777" w:rsidR="000940B2" w:rsidRDefault="000940B2" w:rsidP="00016124">
      <w:pPr>
        <w:numPr>
          <w:ilvl w:val="1"/>
          <w:numId w:val="38"/>
        </w:numPr>
        <w:overflowPunct/>
        <w:autoSpaceDE/>
        <w:autoSpaceDN/>
        <w:adjustRightInd/>
        <w:spacing w:before="120" w:after="120" w:line="276" w:lineRule="auto"/>
        <w:jc w:val="both"/>
        <w:textAlignment w:val="auto"/>
      </w:pPr>
      <w:r w:rsidRPr="009B1998">
        <w:t>TBS determined based on multiple slots and transmitted over multiple slots.</w:t>
      </w:r>
      <w:r>
        <w:t xml:space="preserve"> </w:t>
      </w:r>
    </w:p>
    <w:p w14:paraId="6E5250A3" w14:textId="36196CF7" w:rsidR="000940B2" w:rsidRDefault="000940B2" w:rsidP="00016124">
      <w:pPr>
        <w:overflowPunct/>
        <w:autoSpaceDE/>
        <w:autoSpaceDN/>
        <w:adjustRightInd/>
        <w:spacing w:before="120" w:after="120" w:line="276" w:lineRule="auto"/>
        <w:jc w:val="both"/>
        <w:textAlignment w:val="auto"/>
        <w:rPr>
          <w:lang w:eastAsia="zh-CN"/>
        </w:rPr>
      </w:pPr>
      <w:r>
        <w:rPr>
          <w:lang w:eastAsia="zh-CN"/>
        </w:rPr>
        <w:t>In this document we present our proposals on the above enhancement.</w:t>
      </w:r>
    </w:p>
    <w:p w14:paraId="14B06632" w14:textId="663C5F50" w:rsidR="00462F56" w:rsidRDefault="00462F56" w:rsidP="00016124">
      <w:pPr>
        <w:pStyle w:val="Heading1"/>
        <w:jc w:val="both"/>
        <w:rPr>
          <w:rFonts w:ascii="Times New Roman" w:hAnsi="Times New Roman"/>
          <w:lang w:val="en-US"/>
        </w:rPr>
      </w:pPr>
      <w:r>
        <w:rPr>
          <w:rFonts w:ascii="Times New Roman" w:hAnsi="Times New Roman"/>
          <w:lang w:val="en-US"/>
        </w:rPr>
        <w:t>Multi-Slot TB Transmissions</w:t>
      </w:r>
    </w:p>
    <w:p w14:paraId="4CC59C91" w14:textId="77777777" w:rsidR="009A1EFD" w:rsidRDefault="009A1EFD" w:rsidP="00016124">
      <w:pPr>
        <w:jc w:val="both"/>
        <w:rPr>
          <w:lang w:eastAsia="zh-CN"/>
        </w:rPr>
      </w:pPr>
      <w:r>
        <w:rPr>
          <w:lang w:eastAsia="zh-CN"/>
        </w:rPr>
        <w:t xml:space="preserve">In Rel-15/16, according to section 6.1.4.2 and 5.1.3.2 of TS38.214, TBS is determined based on the scheduled modulation order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Pr>
          <w:lang w:eastAsia="zh-CN"/>
        </w:rPr>
        <w:t xml:space="preserve">, coding rate </w:t>
      </w:r>
      <m:oMath>
        <m:r>
          <w:rPr>
            <w:rFonts w:ascii="Cambria Math" w:hAnsi="Cambria Math"/>
            <w:lang w:eastAsia="zh-CN"/>
          </w:rPr>
          <m:t>R</m:t>
        </m:r>
      </m:oMath>
      <w:r>
        <w:rPr>
          <w:lang w:eastAsia="zh-CN"/>
        </w:rPr>
        <w:t xml:space="preserve">, number of MIMO layers </w:t>
      </w:r>
      <m:oMath>
        <m:r>
          <w:rPr>
            <w:rFonts w:ascii="Cambria Math" w:hAnsi="Cambria Math"/>
            <w:lang w:eastAsia="zh-CN"/>
          </w:rPr>
          <m:t>ν</m:t>
        </m:r>
      </m:oMath>
      <w:r>
        <w:rPr>
          <w:lang w:eastAsia="zh-CN"/>
        </w:rPr>
        <w:t xml:space="preserve"> and number of available REs in the scheduled slot (denoted by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RE</m:t>
            </m:r>
          </m:sub>
        </m:sSub>
      </m:oMath>
      <w:r>
        <w:rPr>
          <w:lang w:eastAsia="zh-CN"/>
        </w:rPr>
        <w:t>). To deliver a packet to the gNB, the UE may be scheduled with higher MCS and less resource if channel condition is good or lower MCS and larger resource if the channel condition is bad. For UE at cell-edge, larger resource allocation does not seem to be an ideal option due to the limited power budget. Thus, cell-edge UEs are most likely to engage in narrow band transmissions with low MCS (QPSK and lower coding rate). Such a configuration can often require the UE to divide a higher-layer packet into multiple segments and transmit the packets over multiple small TBs in multiple UL grants.</w:t>
      </w:r>
    </w:p>
    <w:p w14:paraId="54143952" w14:textId="439BE12B" w:rsidR="009A1EFD" w:rsidRDefault="009A1EFD" w:rsidP="00016124">
      <w:pPr>
        <w:jc w:val="both"/>
        <w:rPr>
          <w:lang w:eastAsia="zh-CN"/>
        </w:rPr>
      </w:pPr>
      <w:r>
        <w:rPr>
          <w:lang w:eastAsia="zh-CN"/>
        </w:rPr>
        <w:t xml:space="preserve">As illustrated in the figure below, if a UE has a packet with 1280 bits (e.g., a video call), the UE may transmit the packet in one slot using </w:t>
      </w:r>
      <w:r w:rsidR="00016124">
        <w:rPr>
          <w:lang w:eastAsia="zh-CN"/>
        </w:rPr>
        <w:t>16RBs or</w:t>
      </w:r>
      <w:r>
        <w:rPr>
          <w:lang w:eastAsia="zh-CN"/>
        </w:rPr>
        <w:t xml:space="preserve"> divide it into 4 parts each with 320 bits and transmit them in 4 slots using 4RBs to have better coverage. </w:t>
      </w:r>
    </w:p>
    <w:p w14:paraId="26E7E60B" w14:textId="77777777" w:rsidR="009A1EFD" w:rsidRDefault="009A1EFD" w:rsidP="00016124">
      <w:pPr>
        <w:jc w:val="both"/>
        <w:rPr>
          <w:lang w:eastAsia="zh-CN"/>
        </w:rPr>
      </w:pPr>
    </w:p>
    <w:p w14:paraId="2970F303" w14:textId="77777777" w:rsidR="009A1EFD" w:rsidRDefault="009A1EFD" w:rsidP="00016124">
      <w:pPr>
        <w:keepNext/>
        <w:jc w:val="center"/>
      </w:pPr>
      <w:r w:rsidRPr="00683ACA">
        <w:rPr>
          <w:lang w:eastAsia="zh-CN"/>
        </w:rPr>
        <w:object w:dxaOrig="10861" w:dyaOrig="5257" w14:anchorId="52882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65pt;height:148.65pt" o:ole="">
            <v:imagedata r:id="rId7" o:title=""/>
          </v:shape>
          <o:OLEObject Type="Embed" ProgID="Visio.Drawing.15" ShapeID="_x0000_i1025" DrawAspect="Content" ObjectID="_1672489638" r:id="rId8"/>
        </w:object>
      </w:r>
    </w:p>
    <w:p w14:paraId="6D278AB6" w14:textId="6E4DA78F" w:rsidR="009A1EFD" w:rsidRDefault="009A1EFD" w:rsidP="00016124">
      <w:pPr>
        <w:pStyle w:val="Caption"/>
        <w:jc w:val="center"/>
      </w:pPr>
      <w:bookmarkStart w:id="1" w:name="_Ref61438122"/>
      <w:bookmarkStart w:id="2" w:name="_Ref61438116"/>
      <w:r>
        <w:t xml:space="preserve">Figure </w:t>
      </w:r>
      <w:r>
        <w:fldChar w:fldCharType="begin"/>
      </w:r>
      <w:r>
        <w:instrText xml:space="preserve"> SEQ Figure \* ARABIC </w:instrText>
      </w:r>
      <w:r>
        <w:fldChar w:fldCharType="separate"/>
      </w:r>
      <w:r w:rsidR="003C2F38">
        <w:rPr>
          <w:noProof/>
        </w:rPr>
        <w:t>1</w:t>
      </w:r>
      <w:r>
        <w:fldChar w:fldCharType="end"/>
      </w:r>
      <w:bookmarkEnd w:id="1"/>
      <w:r>
        <w:t xml:space="preserve"> </w:t>
      </w:r>
      <w:r w:rsidRPr="00D55CC2">
        <w:t>Illustration for TB segmentation and TBS scaling/optimization.</w:t>
      </w:r>
      <w:bookmarkEnd w:id="2"/>
    </w:p>
    <w:p w14:paraId="2101530B" w14:textId="77777777" w:rsidR="009A1EFD" w:rsidRDefault="009A1EFD" w:rsidP="00016124">
      <w:pPr>
        <w:pStyle w:val="Caption"/>
        <w:jc w:val="both"/>
      </w:pPr>
    </w:p>
    <w:p w14:paraId="4ADB8844" w14:textId="77777777" w:rsidR="009A1EFD" w:rsidRDefault="009A1EFD" w:rsidP="00016124">
      <w:pPr>
        <w:jc w:val="both"/>
        <w:rPr>
          <w:lang w:eastAsia="zh-CN"/>
        </w:rPr>
      </w:pPr>
      <w:r>
        <w:rPr>
          <w:lang w:eastAsia="zh-CN"/>
        </w:rPr>
        <w:t>Another example would be VoIP service in which UE needs to deliver 328 bits per 20ms. UE may transmit it in one slot with 4RBs or divide it into 4 parts each with 82 bits and transmit them in 4 slots using 1RB/slot to have better coverage.</w:t>
      </w:r>
    </w:p>
    <w:p w14:paraId="6307662D" w14:textId="57265395" w:rsidR="009A1EFD" w:rsidRDefault="009A1EFD" w:rsidP="00016124">
      <w:pPr>
        <w:jc w:val="both"/>
        <w:rPr>
          <w:lang w:eastAsia="zh-CN"/>
        </w:rPr>
      </w:pPr>
      <w:r>
        <w:rPr>
          <w:lang w:eastAsia="zh-CN"/>
        </w:rPr>
        <w:t xml:space="preserve">While the second option is clearly the better choice for a cell-edge UE, the segmentation of the original packet incurs two kinds of penalties --- (a) upper-layer headers get appended to each segment, thereby increasing the total number </w:t>
      </w:r>
      <w:r>
        <w:rPr>
          <w:lang w:eastAsia="zh-CN"/>
        </w:rPr>
        <w:lastRenderedPageBreak/>
        <w:t xml:space="preserve">of bits to transmit and (b) coding gain tends to decrease as the block size decreases, i.e., it is not very power efficient to transmit multiple TBs of a few 100 bits as opposed to a single TB of size 1000 bits. </w:t>
      </w:r>
    </w:p>
    <w:p w14:paraId="2DE7C582" w14:textId="768B8C5C" w:rsidR="009A1EFD" w:rsidRDefault="00582F42" w:rsidP="00016124">
      <w:pPr>
        <w:jc w:val="both"/>
        <w:rPr>
          <w:lang w:eastAsia="zh-CN"/>
        </w:rPr>
      </w:pPr>
      <w:r>
        <w:rPr>
          <w:lang w:eastAsia="zh-CN"/>
        </w:rPr>
        <w:t>To</w:t>
      </w:r>
      <w:r w:rsidR="009A1EFD">
        <w:rPr>
          <w:lang w:eastAsia="zh-CN"/>
        </w:rPr>
        <w:t xml:space="preserve"> overcome these issues, and to let a cell-edge UE enjoy all the gains of being able to transmit a packet over multiple slots without excessive segmentation, a simple bundling of multiple slots by appropriately scaling the TB size so that the entire payload can be encoded as a single TB</w:t>
      </w:r>
      <w:r w:rsidR="000C2908">
        <w:rPr>
          <w:lang w:eastAsia="zh-CN"/>
        </w:rPr>
        <w:t xml:space="preserve"> is proposed</w:t>
      </w:r>
      <w:r w:rsidR="009A1EFD">
        <w:rPr>
          <w:lang w:eastAsia="zh-CN"/>
        </w:rPr>
        <w:t xml:space="preserve">. </w:t>
      </w:r>
      <w:r w:rsidR="000C2908">
        <w:rPr>
          <w:lang w:eastAsia="zh-CN"/>
        </w:rPr>
        <w:t xml:space="preserve">Using this </w:t>
      </w:r>
      <w:r>
        <w:rPr>
          <w:lang w:eastAsia="zh-CN"/>
        </w:rPr>
        <w:t>approach,</w:t>
      </w:r>
      <w:r w:rsidR="009A1EFD">
        <w:rPr>
          <w:lang w:eastAsia="zh-CN"/>
        </w:rPr>
        <w:t xml:space="preserve"> the UE may be scheduled to transmit a larger TBS (without segmentation) using the REs across multiple slots. Since more parity bits would be transmitted for a larger TBS, it can be expected that the MCL could be improved with larger coding gain. This option can be applied to both eMBB and VoNR services. </w:t>
      </w:r>
    </w:p>
    <w:p w14:paraId="6DBC3E9C" w14:textId="01422165" w:rsidR="004B54D6" w:rsidRDefault="000C2908" w:rsidP="00016124">
      <w:pPr>
        <w:jc w:val="both"/>
      </w:pPr>
      <w:r>
        <w:t>To enable a UE to transmit over multiple slots without unnecessary segmentation, we propose to reuse the repetition and RV cycling framework that is already existing the current spec.</w:t>
      </w:r>
      <w:r w:rsidR="00D06530">
        <w:t xml:space="preserve"> </w:t>
      </w:r>
      <w:r w:rsidR="007A701D">
        <w:t xml:space="preserve"> </w:t>
      </w:r>
      <w:r w:rsidR="00582F42">
        <w:t>Using</w:t>
      </w:r>
      <w:r w:rsidR="007A701D">
        <w:t xml:space="preserve"> the example provided in </w:t>
      </w:r>
      <w:r w:rsidR="007A701D">
        <w:fldChar w:fldCharType="begin"/>
      </w:r>
      <w:r w:rsidR="007A701D">
        <w:instrText xml:space="preserve"> REF _Ref61438122 \h </w:instrText>
      </w:r>
      <w:r w:rsidR="00016124">
        <w:instrText xml:space="preserve"> \* MERGEFORMAT </w:instrText>
      </w:r>
      <w:r w:rsidR="007A701D">
        <w:fldChar w:fldCharType="separate"/>
      </w:r>
      <w:r w:rsidR="007A701D">
        <w:t xml:space="preserve">Figure </w:t>
      </w:r>
      <w:r w:rsidR="007A701D">
        <w:rPr>
          <w:noProof/>
        </w:rPr>
        <w:t>14</w:t>
      </w:r>
      <w:r w:rsidR="007A701D">
        <w:fldChar w:fldCharType="end"/>
      </w:r>
      <w:r w:rsidR="007A701D">
        <w:t>, to accomplish transmitting all 1280 bits in a single transmission, consider scheduling the UE with PUSCH with 4 repetitions and 4 RBs.</w:t>
      </w:r>
      <w:r w:rsidR="007047A9">
        <w:t xml:space="preserve"> Also assume RV cycling is enabled for this allocation.</w:t>
      </w:r>
      <w:r w:rsidR="004B54D6">
        <w:t xml:space="preserve"> This is illustrated in </w:t>
      </w:r>
      <w:r w:rsidR="004B54D6">
        <w:fldChar w:fldCharType="begin"/>
      </w:r>
      <w:r w:rsidR="004B54D6">
        <w:instrText xml:space="preserve"> REF _Ref61440080 \h </w:instrText>
      </w:r>
      <w:r w:rsidR="00016124">
        <w:instrText xml:space="preserve"> \* MERGEFORMAT </w:instrText>
      </w:r>
      <w:r w:rsidR="004B54D6">
        <w:fldChar w:fldCharType="separate"/>
      </w:r>
      <w:r w:rsidR="004B54D6">
        <w:t xml:space="preserve">Figure </w:t>
      </w:r>
      <w:r w:rsidR="004B54D6">
        <w:rPr>
          <w:noProof/>
        </w:rPr>
        <w:t>2</w:t>
      </w:r>
      <w:r w:rsidR="004B54D6">
        <w:fldChar w:fldCharType="end"/>
      </w:r>
      <w:r w:rsidR="0094699A">
        <w:t>.</w:t>
      </w:r>
    </w:p>
    <w:p w14:paraId="3DBC4A67" w14:textId="7B7F38BE" w:rsidR="00D7086E" w:rsidRDefault="00D7086E" w:rsidP="00016124">
      <w:pPr>
        <w:jc w:val="both"/>
      </w:pPr>
    </w:p>
    <w:p w14:paraId="28C25A32" w14:textId="77777777" w:rsidR="00F13199" w:rsidRDefault="00F13199" w:rsidP="00016124">
      <w:pPr>
        <w:keepNext/>
        <w:jc w:val="center"/>
      </w:pPr>
      <w:r>
        <w:rPr>
          <w:noProof/>
        </w:rPr>
        <w:drawing>
          <wp:inline distT="0" distB="0" distL="0" distR="0" wp14:anchorId="64C8751A" wp14:editId="43A9C81E">
            <wp:extent cx="6021705" cy="118813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7463" cy="1199133"/>
                    </a:xfrm>
                    <a:prstGeom prst="rect">
                      <a:avLst/>
                    </a:prstGeom>
                    <a:noFill/>
                  </pic:spPr>
                </pic:pic>
              </a:graphicData>
            </a:graphic>
          </wp:inline>
        </w:drawing>
      </w:r>
    </w:p>
    <w:p w14:paraId="5AB0BD5E" w14:textId="05598C9F" w:rsidR="00D7086E" w:rsidRDefault="00F13199" w:rsidP="00016124">
      <w:pPr>
        <w:pStyle w:val="Caption"/>
        <w:jc w:val="center"/>
      </w:pPr>
      <w:bookmarkStart w:id="3" w:name="_Ref61440080"/>
      <w:r>
        <w:t xml:space="preserve">Figure </w:t>
      </w:r>
      <w:r>
        <w:fldChar w:fldCharType="begin"/>
      </w:r>
      <w:r>
        <w:instrText xml:space="preserve"> SEQ Figure \* ARABIC </w:instrText>
      </w:r>
      <w:r>
        <w:fldChar w:fldCharType="separate"/>
      </w:r>
      <w:r w:rsidR="003C2F38">
        <w:rPr>
          <w:noProof/>
        </w:rPr>
        <w:t>2</w:t>
      </w:r>
      <w:r>
        <w:fldChar w:fldCharType="end"/>
      </w:r>
      <w:bookmarkEnd w:id="3"/>
      <w:r>
        <w:t xml:space="preserve"> PUSCH configuration for TB size scaling</w:t>
      </w:r>
      <w:r w:rsidR="004B54D6">
        <w:t>. For the example above, we have 4 RBs allocated per slot.</w:t>
      </w:r>
    </w:p>
    <w:p w14:paraId="29F51CF9" w14:textId="59152222" w:rsidR="004B54D6" w:rsidRDefault="004B54D6" w:rsidP="00016124">
      <w:pPr>
        <w:jc w:val="both"/>
      </w:pPr>
      <w:r>
        <w:t xml:space="preserve">This provides the UE with a total of 16 RBs spread out over 4 slots. Currently, the UE determines its TB size based on the resources assigned to it for the first slot, </w:t>
      </w:r>
      <w:r w:rsidR="00016124">
        <w:t>i.e.</w:t>
      </w:r>
      <w:r>
        <w:t>, uses 4 RBs as the resource allocation. To now replicate a 16 RB assignment in a single slot, we need to let the UE scale its TB size to account for all the 16 RBs that are available to it. To accomplish this, we examine the steps involved in how a UE determines the TB size</w:t>
      </w:r>
      <w:r w:rsidR="00CF651F">
        <w:t>:</w:t>
      </w:r>
    </w:p>
    <w:p w14:paraId="358439CE" w14:textId="01F538D3" w:rsidR="00D7086E" w:rsidRPr="00016124" w:rsidRDefault="00D7086E" w:rsidP="00016124">
      <w:pPr>
        <w:numPr>
          <w:ilvl w:val="0"/>
          <w:numId w:val="42"/>
        </w:numPr>
        <w:jc w:val="both"/>
      </w:pPr>
      <w:r w:rsidRPr="00016124">
        <w:t>UE first determines number of REs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hint="eastAsia"/>
              </w:rPr>
              <m:t>'</m:t>
            </m:r>
          </m:sup>
        </m:sSubSup>
      </m:oMath>
      <w:r w:rsidRPr="00016124">
        <w:t>) allocated for PUSCH within a PRB:</w:t>
      </w:r>
    </w:p>
    <w:p w14:paraId="2CAA58EC" w14:textId="77777777" w:rsidR="00D7086E" w:rsidRPr="00016124" w:rsidRDefault="00D7086E" w:rsidP="00016124">
      <w:pPr>
        <w:numPr>
          <w:ilvl w:val="1"/>
          <w:numId w:val="44"/>
        </w:numPr>
        <w:jc w:val="both"/>
      </w:pPr>
      <w:r w:rsidRPr="00016124">
        <w:t>This is a function of the number of symbols and RBs allocated to PUSCH, the number of resources assigned for DMRS and an additional overhead factor.</w:t>
      </w:r>
    </w:p>
    <w:p w14:paraId="1E221B58" w14:textId="29C80FE6" w:rsidR="00D7086E" w:rsidRPr="00016124" w:rsidRDefault="00D7086E" w:rsidP="00016124">
      <w:pPr>
        <w:numPr>
          <w:ilvl w:val="0"/>
          <w:numId w:val="42"/>
        </w:numPr>
        <w:jc w:val="both"/>
      </w:pPr>
      <w:r w:rsidRPr="00016124">
        <w:t>A UE then determines total number of REs allocated to PUSCH (</w:t>
      </w:r>
      <m:oMath>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m:t>
        </m:r>
      </m:oMath>
      <w:r w:rsidRPr="00016124">
        <w:t xml:space="preserve">: </w:t>
      </w:r>
      <m:oMath>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 = </m:t>
        </m:r>
        <m:sSub>
          <m:sSubPr>
            <m:ctrlPr>
              <w:rPr>
                <w:rFonts w:ascii="Cambria Math" w:hAnsi="Cambria Math"/>
                <w:i/>
                <w:iCs/>
              </w:rPr>
            </m:ctrlPr>
          </m:sSubPr>
          <m:e>
            <m:r>
              <w:rPr>
                <w:rFonts w:ascii="Cambria Math" w:hAnsi="Cambria Math"/>
              </w:rPr>
              <m:t>n</m:t>
            </m:r>
          </m:e>
          <m:sub>
            <m:r>
              <w:rPr>
                <w:rFonts w:ascii="Cambria Math" w:hAnsi="Cambria Math"/>
              </w:rPr>
              <m:t>prb</m:t>
            </m:r>
          </m:sub>
        </m:sSub>
        <m:r>
          <w:rPr>
            <w:rFonts w:ascii="Cambria Math" w:hAnsi="Cambria Math"/>
          </w:rPr>
          <m:t>*</m:t>
        </m:r>
        <m:func>
          <m:funcPr>
            <m:ctrlPr>
              <w:rPr>
                <w:rFonts w:ascii="Cambria Math" w:hAnsi="Cambria Math"/>
                <w:i/>
                <w:iCs/>
              </w:rPr>
            </m:ctrlPr>
          </m:funcPr>
          <m:fName>
            <m:r>
              <m:rPr>
                <m:sty m:val="p"/>
              </m:rPr>
              <w:rPr>
                <w:rFonts w:ascii="Cambria Math" w:hAnsi="Cambria Math"/>
              </w:rPr>
              <m:t>min</m:t>
            </m:r>
          </m:fName>
          <m:e>
            <m:d>
              <m:dPr>
                <m:ctrlPr>
                  <w:rPr>
                    <w:rFonts w:ascii="Cambria Math" w:hAnsi="Cambria Math"/>
                    <w:i/>
                    <w:iCs/>
                  </w:rPr>
                </m:ctrlPr>
              </m:dPr>
              <m:e>
                <m:r>
                  <w:rPr>
                    <w:rFonts w:ascii="Cambria Math" w:hAnsi="Cambria Math"/>
                  </w:rPr>
                  <m:t>156,</m:t>
                </m:r>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hint="eastAsia"/>
                      </w:rPr>
                      <m:t>'</m:t>
                    </m:r>
                  </m:sup>
                </m:sSubSup>
              </m:e>
            </m:d>
          </m:e>
        </m:func>
        <m:r>
          <w:rPr>
            <w:rFonts w:ascii="Cambria Math" w:hAnsi="Cambria Math"/>
          </w:rPr>
          <m:t>, </m:t>
        </m:r>
      </m:oMath>
      <w:r w:rsidRPr="00016124">
        <w:t xml:space="preserve">where </w:t>
      </w:r>
      <m:oMath>
        <m:sSub>
          <m:sSubPr>
            <m:ctrlPr>
              <w:rPr>
                <w:rFonts w:ascii="Cambria Math" w:hAnsi="Cambria Math"/>
                <w:i/>
                <w:iCs/>
              </w:rPr>
            </m:ctrlPr>
          </m:sSubPr>
          <m:e>
            <m:r>
              <w:rPr>
                <w:rFonts w:ascii="Cambria Math" w:hAnsi="Cambria Math"/>
              </w:rPr>
              <m:t>n</m:t>
            </m:r>
          </m:e>
          <m:sub>
            <m:r>
              <w:rPr>
                <w:rFonts w:ascii="Cambria Math" w:hAnsi="Cambria Math"/>
              </w:rPr>
              <m:t>prb</m:t>
            </m:r>
          </m:sub>
        </m:sSub>
      </m:oMath>
      <w:r w:rsidRPr="00016124">
        <w:t xml:space="preserve"> denotes the total number of PRBs assigned to the UE </w:t>
      </w:r>
    </w:p>
    <w:p w14:paraId="1D7FCEFF" w14:textId="797535F3" w:rsidR="00D7086E" w:rsidRPr="00016124" w:rsidRDefault="00D7086E" w:rsidP="00016124">
      <w:pPr>
        <w:numPr>
          <w:ilvl w:val="0"/>
          <w:numId w:val="42"/>
        </w:numPr>
        <w:jc w:val="both"/>
      </w:pPr>
      <w:r w:rsidRPr="00016124">
        <w:t xml:space="preserve">UE then determines intermediate number of information bits </w:t>
      </w:r>
      <m:oMath>
        <m:sSubSup>
          <m:sSubSupPr>
            <m:ctrlPr>
              <w:rPr>
                <w:rFonts w:ascii="Cambria Math" w:hAnsi="Cambria Math"/>
                <w:i/>
                <w:iCs/>
              </w:rPr>
            </m:ctrlPr>
          </m:sSubSupPr>
          <m:e>
            <m:r>
              <w:rPr>
                <w:rFonts w:ascii="Cambria Math" w:hAnsi="Cambria Math"/>
              </w:rPr>
              <m:t>N</m:t>
            </m:r>
          </m:e>
          <m:sub>
            <m:r>
              <w:rPr>
                <w:rFonts w:ascii="Cambria Math" w:hAnsi="Cambria Math"/>
              </w:rPr>
              <m:t>info</m:t>
            </m:r>
          </m:sub>
          <m:sup/>
        </m:sSubSup>
      </m:oMath>
      <w:r w:rsidRPr="00016124">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info</m:t>
            </m:r>
          </m:sub>
          <m:sup/>
        </m:sSub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*R*</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*ν</m:t>
        </m:r>
      </m:oMath>
      <w:r w:rsidRPr="00016124">
        <w:t xml:space="preserve">, where </w:t>
      </w:r>
      <m:oMath>
        <m:r>
          <w:rPr>
            <w:rFonts w:ascii="Cambria Math" w:hAnsi="Cambria Math"/>
          </w:rPr>
          <m:t>R</m:t>
        </m:r>
      </m:oMath>
      <w:r w:rsidRPr="00016124">
        <w:t xml:space="preserve"> is the coding rate, </w:t>
      </w:r>
      <m:oMath>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 </m:t>
        </m:r>
      </m:oMath>
      <w:r w:rsidRPr="00016124">
        <w:t xml:space="preserve">is the modulation order and </w:t>
      </w:r>
      <m:oMath>
        <m:r>
          <w:rPr>
            <w:rFonts w:ascii="Cambria Math" w:hAnsi="Cambria Math"/>
          </w:rPr>
          <m:t>ν</m:t>
        </m:r>
      </m:oMath>
      <w:r w:rsidRPr="00016124">
        <w:t xml:space="preserve"> is the number of layers</w:t>
      </w:r>
    </w:p>
    <w:p w14:paraId="4B34BFD0" w14:textId="77777777" w:rsidR="00D7086E" w:rsidRPr="00016124" w:rsidRDefault="00D7086E" w:rsidP="00016124">
      <w:pPr>
        <w:numPr>
          <w:ilvl w:val="0"/>
          <w:numId w:val="42"/>
        </w:numPr>
        <w:jc w:val="both"/>
      </w:pPr>
      <w:r w:rsidRPr="00016124">
        <w:t>Once the intermediate information bits are obtained, the TB size determination splits into two directions:</w:t>
      </w:r>
    </w:p>
    <w:p w14:paraId="41AF6AB9" w14:textId="294D379D" w:rsidR="00D7086E" w:rsidRPr="00016124" w:rsidRDefault="00D7086E" w:rsidP="00016124">
      <w:pPr>
        <w:numPr>
          <w:ilvl w:val="1"/>
          <w:numId w:val="45"/>
        </w:numPr>
        <w:jc w:val="both"/>
      </w:pPr>
      <w:r w:rsidRPr="00016124">
        <w:t xml:space="preserve">When </w:t>
      </w:r>
      <m:oMath>
        <m:sSub>
          <m:sSubPr>
            <m:ctrlPr>
              <w:rPr>
                <w:rFonts w:ascii="Cambria Math" w:hAnsi="Cambria Math"/>
                <w:i/>
                <w:iCs/>
              </w:rPr>
            </m:ctrlPr>
          </m:sSubPr>
          <m:e>
            <m:r>
              <w:rPr>
                <w:rFonts w:ascii="Cambria Math" w:hAnsi="Cambria Math"/>
              </w:rPr>
              <m:t>N</m:t>
            </m:r>
          </m:e>
          <m:sub>
            <m:r>
              <w:rPr>
                <w:rFonts w:ascii="Cambria Math" w:hAnsi="Cambria Math"/>
              </w:rPr>
              <m:t>info</m:t>
            </m:r>
          </m:sub>
        </m:sSub>
        <m:r>
          <w:rPr>
            <w:rFonts w:ascii="Cambria Math" w:hAnsi="Cambria Math" w:hint="eastAsia"/>
          </w:rPr>
          <m:t>≤</m:t>
        </m:r>
        <m:r>
          <w:rPr>
            <w:rFonts w:ascii="Cambria Math" w:hAnsi="Cambria Math"/>
          </w:rPr>
          <m:t>3824</m:t>
        </m:r>
      </m:oMath>
      <w:r w:rsidRPr="00016124">
        <w:t xml:space="preserve"> the TB size is based on a formula</w:t>
      </w:r>
    </w:p>
    <w:p w14:paraId="019E2516" w14:textId="02851E16" w:rsidR="00D7086E" w:rsidRPr="00016124" w:rsidRDefault="00D7086E" w:rsidP="00016124">
      <w:pPr>
        <w:numPr>
          <w:ilvl w:val="1"/>
          <w:numId w:val="45"/>
        </w:numPr>
        <w:jc w:val="both"/>
      </w:pPr>
      <w:r w:rsidRPr="00016124">
        <w:t xml:space="preserve">Else, a </w:t>
      </w:r>
      <w:r w:rsidR="00016124" w:rsidRPr="00016124">
        <w:t>formula-based</w:t>
      </w:r>
      <w:r w:rsidRPr="00016124">
        <w:t xml:space="preserve"> approach is used to compute the TB size.</w:t>
      </w:r>
    </w:p>
    <w:p w14:paraId="2B01635B" w14:textId="19D8729A" w:rsidR="00D7086E" w:rsidRDefault="00680CA2" w:rsidP="00016124">
      <w:pPr>
        <w:jc w:val="both"/>
      </w:pPr>
      <w:r w:rsidRPr="00016124">
        <w:t xml:space="preserve">To let the </w:t>
      </w:r>
      <w:proofErr w:type="gramStart"/>
      <w:r w:rsidR="00016124" w:rsidRPr="00016124">
        <w:t>UE</w:t>
      </w:r>
      <w:proofErr w:type="gramEnd"/>
      <w:r w:rsidRPr="00016124">
        <w:t xml:space="preserve"> take advantage of all 16 RBs and size its TB appropriately, we propose to alter Step 3 and introduce a scale factor S, so that the intermediate information bits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rsidRPr="00016124">
        <w:t xml:space="preserve"> is computed as </w:t>
      </w:r>
      <m:oMath>
        <m:r>
          <w:rPr>
            <w:rFonts w:ascii="Cambria Math" w:hAnsi="Cambria Math"/>
          </w:rPr>
          <m:t>S* </m:t>
        </m:r>
        <m:sSub>
          <m:sSubPr>
            <m:ctrlPr>
              <w:rPr>
                <w:rFonts w:ascii="Cambria Math" w:hAnsi="Cambria Math"/>
                <w:i/>
                <w:iCs/>
              </w:rPr>
            </m:ctrlPr>
          </m:sSubPr>
          <m:e>
            <m:r>
              <w:rPr>
                <w:rFonts w:ascii="Cambria Math" w:hAnsi="Cambria Math"/>
              </w:rPr>
              <m:t>N</m:t>
            </m:r>
          </m:e>
          <m:sub>
            <m:r>
              <w:rPr>
                <w:rFonts w:ascii="Cambria Math" w:hAnsi="Cambria Math"/>
              </w:rPr>
              <m:t>RE</m:t>
            </m:r>
          </m:sub>
        </m:sSub>
        <m:r>
          <w:rPr>
            <w:rFonts w:ascii="Cambria Math" w:hAnsi="Cambria Math"/>
          </w:rPr>
          <m:t>*R*</m:t>
        </m:r>
        <m:sSub>
          <m:sSubPr>
            <m:ctrlPr>
              <w:rPr>
                <w:rFonts w:ascii="Cambria Math" w:hAnsi="Cambria Math"/>
                <w:i/>
                <w:iCs/>
              </w:rPr>
            </m:ctrlPr>
          </m:sSubPr>
          <m:e>
            <m:r>
              <w:rPr>
                <w:rFonts w:ascii="Cambria Math" w:hAnsi="Cambria Math"/>
              </w:rPr>
              <m:t>Q</m:t>
            </m:r>
          </m:e>
          <m:sub>
            <m:r>
              <w:rPr>
                <w:rFonts w:ascii="Cambria Math" w:hAnsi="Cambria Math"/>
              </w:rPr>
              <m:t>m</m:t>
            </m:r>
          </m:sub>
        </m:sSub>
        <m:r>
          <w:rPr>
            <w:rFonts w:ascii="Cambria Math" w:hAnsi="Cambria Math"/>
          </w:rPr>
          <m:t>*ν, </m:t>
        </m:r>
      </m:oMath>
      <w:r w:rsidR="00D7086E" w:rsidRPr="00016124">
        <w:t xml:space="preserve">where </w:t>
      </w:r>
      <m:oMath>
        <m:r>
          <w:rPr>
            <w:rFonts w:ascii="Cambria Math" w:hAnsi="Cambria Math"/>
          </w:rPr>
          <m:t>S</m:t>
        </m:r>
      </m:oMath>
      <w:r w:rsidR="00D7086E" w:rsidRPr="00016124">
        <w:t xml:space="preserve"> is </w:t>
      </w:r>
      <w:r w:rsidRPr="00016124">
        <w:t>a scale factor taking values greater than or equal to 1.</w:t>
      </w:r>
    </w:p>
    <w:p w14:paraId="4BC99885" w14:textId="39DEC35B" w:rsidR="0094699A" w:rsidRDefault="0094699A" w:rsidP="00016124">
      <w:pPr>
        <w:jc w:val="both"/>
      </w:pPr>
      <w:r>
        <w:t xml:space="preserve">Using this approach, for the example discussed above, we can now scale the TBS by a factor of 4 </w:t>
      </w:r>
      <w:r w:rsidR="00016124">
        <w:t>to</w:t>
      </w:r>
      <w:r>
        <w:t xml:space="preserve"> account for all the resources available to this UE and the UE can encode all the 1280 bits in a joint manner. The circular buffer after encoding looks as represented in the figure below:</w:t>
      </w:r>
    </w:p>
    <w:p w14:paraId="2E7AF1F0" w14:textId="77777777" w:rsidR="003C2F38" w:rsidRDefault="003C2F38" w:rsidP="00016124">
      <w:pPr>
        <w:keepNext/>
        <w:jc w:val="center"/>
      </w:pPr>
      <w:r w:rsidRPr="003C2F38">
        <w:rPr>
          <w:noProof/>
        </w:rPr>
        <w:lastRenderedPageBreak/>
        <w:drawing>
          <wp:inline distT="0" distB="0" distL="0" distR="0" wp14:anchorId="37C3DEBB" wp14:editId="4AC261D4">
            <wp:extent cx="3516995" cy="2334006"/>
            <wp:effectExtent l="0" t="0" r="0" b="0"/>
            <wp:docPr id="40" name="Picture 5">
              <a:extLst xmlns:a="http://schemas.openxmlformats.org/drawingml/2006/main">
                <a:ext uri="{FF2B5EF4-FFF2-40B4-BE49-F238E27FC236}">
                  <a16:creationId xmlns:a16="http://schemas.microsoft.com/office/drawing/2014/main" id="{9908BE0F-A944-4925-8745-668308E497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908BE0F-A944-4925-8745-668308E4974F}"/>
                        </a:ext>
                      </a:extLst>
                    </pic:cNvPr>
                    <pic:cNvPicPr>
                      <a:picLocks noChangeAspect="1"/>
                    </pic:cNvPicPr>
                  </pic:nvPicPr>
                  <pic:blipFill>
                    <a:blip r:embed="rId10"/>
                    <a:stretch>
                      <a:fillRect/>
                    </a:stretch>
                  </pic:blipFill>
                  <pic:spPr>
                    <a:xfrm>
                      <a:off x="0" y="0"/>
                      <a:ext cx="3535799" cy="2346485"/>
                    </a:xfrm>
                    <a:prstGeom prst="rect">
                      <a:avLst/>
                    </a:prstGeom>
                  </pic:spPr>
                </pic:pic>
              </a:graphicData>
            </a:graphic>
          </wp:inline>
        </w:drawing>
      </w:r>
    </w:p>
    <w:p w14:paraId="30F031B4" w14:textId="1FD17110" w:rsidR="003C2F38" w:rsidRDefault="003C2F38" w:rsidP="00016124">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BA0879">
        <w:t>Circular buffer after encoding 1280 information bits using BG2</w:t>
      </w:r>
      <w:r>
        <w:t>.</w:t>
      </w:r>
    </w:p>
    <w:p w14:paraId="0282EB50" w14:textId="7D05A5E9" w:rsidR="0094699A" w:rsidRDefault="0094699A" w:rsidP="00016124">
      <w:pPr>
        <w:pStyle w:val="Caption"/>
        <w:jc w:val="both"/>
      </w:pPr>
    </w:p>
    <w:p w14:paraId="5FAB08FF" w14:textId="2BCBA580" w:rsidR="0094699A" w:rsidRDefault="003C2F38" w:rsidP="00016124">
      <w:pPr>
        <w:jc w:val="both"/>
      </w:pPr>
      <w:r>
        <w:t>With this scale factor and using RV cycling we can now see that it is indeed possible to transmit a larger size TB while cycling through different parity bits during each of the 4 repetitions. Using these observations, we make the following proposal</w:t>
      </w:r>
      <w:r w:rsidR="00D06530">
        <w:t>s</w:t>
      </w:r>
      <w:r>
        <w:t>:</w:t>
      </w:r>
    </w:p>
    <w:p w14:paraId="4926631C" w14:textId="73F6A1E0" w:rsidR="00462F56" w:rsidRDefault="00462F56" w:rsidP="00016124">
      <w:pPr>
        <w:jc w:val="both"/>
      </w:pPr>
      <w:r w:rsidRPr="00462F56">
        <w:rPr>
          <w:b/>
          <w:bCs/>
        </w:rPr>
        <w:t>Proposal</w:t>
      </w:r>
      <w:r w:rsidR="00594CE1">
        <w:rPr>
          <w:b/>
          <w:bCs/>
        </w:rPr>
        <w:t xml:space="preserve"> </w:t>
      </w:r>
      <w:r w:rsidR="0040345F">
        <w:rPr>
          <w:b/>
          <w:bCs/>
        </w:rPr>
        <w:t>1</w:t>
      </w:r>
      <w:r w:rsidRPr="00462F56">
        <w:rPr>
          <w:b/>
          <w:bCs/>
        </w:rPr>
        <w:t xml:space="preserve">: </w:t>
      </w:r>
      <w:r w:rsidRPr="00462F56">
        <w:t>Support multi-slot TB transmission using TB scaling with repetitions and RV cycling</w:t>
      </w:r>
      <w:r w:rsidR="003C2F38">
        <w:t>.</w:t>
      </w:r>
      <w:r w:rsidR="00D06530">
        <w:t xml:space="preserve"> </w:t>
      </w:r>
      <w:r w:rsidR="003C2F38">
        <w:t>Introduce a new scale factor that can be used to increase the TB size when determining TB size for PUSCH transmission.</w:t>
      </w:r>
    </w:p>
    <w:p w14:paraId="6CB01B25" w14:textId="77777777" w:rsidR="00594CE1" w:rsidRDefault="003C2F38" w:rsidP="00016124">
      <w:pPr>
        <w:pStyle w:val="ListParagraph"/>
        <w:numPr>
          <w:ilvl w:val="0"/>
          <w:numId w:val="46"/>
        </w:numPr>
        <w:jc w:val="both"/>
      </w:pPr>
      <w:r>
        <w:t xml:space="preserve">FFS: permitted values for the scale factor. </w:t>
      </w:r>
    </w:p>
    <w:p w14:paraId="1F0B07B9" w14:textId="0740AF26" w:rsidR="00D06530" w:rsidRDefault="00594CE1" w:rsidP="00016124">
      <w:pPr>
        <w:pStyle w:val="ListParagraph"/>
        <w:numPr>
          <w:ilvl w:val="0"/>
          <w:numId w:val="46"/>
        </w:numPr>
        <w:jc w:val="both"/>
      </w:pPr>
      <w:r>
        <w:t xml:space="preserve">FFS: </w:t>
      </w:r>
      <w:r w:rsidR="003C2F38">
        <w:t>Signaling aspects of the scale factor.</w:t>
      </w:r>
    </w:p>
    <w:p w14:paraId="2E0E287D" w14:textId="77777777" w:rsidR="00B74161" w:rsidRDefault="00B74161" w:rsidP="00016124">
      <w:pPr>
        <w:pStyle w:val="ListParagraph"/>
        <w:jc w:val="both"/>
      </w:pPr>
    </w:p>
    <w:p w14:paraId="5CF25049" w14:textId="1F1FCBF6" w:rsidR="003C2F38" w:rsidRPr="00462F56" w:rsidRDefault="00594CE1" w:rsidP="00016124">
      <w:pPr>
        <w:jc w:val="both"/>
      </w:pPr>
      <w:r>
        <w:t xml:space="preserve">In addition to these aspects, we need to identify clear limits on when TBS scaling is applicable. For instance, </w:t>
      </w:r>
      <w:proofErr w:type="gramStart"/>
      <w:r w:rsidR="00016124">
        <w:t>it’s</w:t>
      </w:r>
      <w:proofErr w:type="gramEnd"/>
      <w:r>
        <w:t xml:space="preserve"> clear that the benefits of TBS scaling no longer apply when we need multiple codeblocks to encode a TB. In </w:t>
      </w:r>
      <w:r w:rsidR="00016124">
        <w:t>addition,</w:t>
      </w:r>
      <w:r>
        <w:t xml:space="preserve"> as the number of allocated RBs, and MCS grow, the coding gain due to TB bundling is diminished or even non-existent. For these cases, TBS scaling brings no performance gain, but can lead to an increase in UE implementation complexity due to increase in circular buffer size. For these reasons, it is important for us to identify clear conditions under which TBS scaling can be applied and we make the following proposal</w:t>
      </w:r>
      <w:r w:rsidR="00016124">
        <w:t>:</w:t>
      </w:r>
    </w:p>
    <w:p w14:paraId="1671AE66" w14:textId="21E06739" w:rsidR="00462F56" w:rsidRDefault="00462F56" w:rsidP="00016124">
      <w:pPr>
        <w:jc w:val="both"/>
      </w:pPr>
      <w:r w:rsidRPr="00462F56">
        <w:rPr>
          <w:b/>
          <w:bCs/>
        </w:rPr>
        <w:t>Proposal</w:t>
      </w:r>
      <w:r w:rsidR="00594CE1">
        <w:rPr>
          <w:b/>
          <w:bCs/>
        </w:rPr>
        <w:t xml:space="preserve"> </w:t>
      </w:r>
      <w:r w:rsidR="0040345F">
        <w:rPr>
          <w:b/>
          <w:bCs/>
        </w:rPr>
        <w:t>2</w:t>
      </w:r>
      <w:r w:rsidRPr="00462F56">
        <w:rPr>
          <w:b/>
          <w:bCs/>
        </w:rPr>
        <w:t xml:space="preserve">: </w:t>
      </w:r>
      <w:r w:rsidRPr="00016124">
        <w:t>Identify constraints</w:t>
      </w:r>
      <w:r w:rsidR="00594CE1" w:rsidRPr="00016124">
        <w:t xml:space="preserve"> or conditions under which </w:t>
      </w:r>
      <w:r w:rsidRPr="00016124">
        <w:t xml:space="preserve">TBS scaling can be used. </w:t>
      </w:r>
      <w:r w:rsidR="00594CE1" w:rsidRPr="00016124">
        <w:t>Constraints may include limits on RB allocation, number of layers, TB size, number of codeblocks, etc.</w:t>
      </w:r>
    </w:p>
    <w:p w14:paraId="270DA66D" w14:textId="76AE3D5F" w:rsidR="00C37C05" w:rsidRDefault="00D7086E" w:rsidP="00016124">
      <w:pPr>
        <w:pStyle w:val="Heading1"/>
        <w:jc w:val="both"/>
        <w:rPr>
          <w:rFonts w:ascii="Times New Roman" w:hAnsi="Times New Roman"/>
          <w:lang w:val="en-US"/>
        </w:rPr>
      </w:pPr>
      <w:r>
        <w:rPr>
          <w:rFonts w:ascii="Times New Roman" w:hAnsi="Times New Roman"/>
          <w:lang w:val="en-US"/>
        </w:rPr>
        <w:t>C</w:t>
      </w:r>
      <w:r w:rsidR="00C37C05" w:rsidRPr="002C136E">
        <w:rPr>
          <w:rFonts w:ascii="Times New Roman" w:hAnsi="Times New Roman"/>
          <w:lang w:val="en-US"/>
        </w:rPr>
        <w:t>onclusion</w:t>
      </w:r>
    </w:p>
    <w:p w14:paraId="157558D4" w14:textId="1FB13385" w:rsidR="00824450" w:rsidRPr="00016124" w:rsidRDefault="00824450" w:rsidP="00016124">
      <w:pPr>
        <w:jc w:val="both"/>
      </w:pPr>
      <w:r>
        <w:t xml:space="preserve">Based on the discussion presented in </w:t>
      </w:r>
      <w:r w:rsidR="00016124">
        <w:t>t</w:t>
      </w:r>
      <w:r>
        <w:t>he earlier sections, we have the following proposals.</w:t>
      </w:r>
    </w:p>
    <w:p w14:paraId="41A6F7F2" w14:textId="17AF65DE" w:rsidR="00594CE1" w:rsidRDefault="00594CE1" w:rsidP="00016124">
      <w:pPr>
        <w:jc w:val="both"/>
      </w:pPr>
      <w:r w:rsidRPr="00462F56">
        <w:rPr>
          <w:b/>
          <w:bCs/>
        </w:rPr>
        <w:t>Proposal</w:t>
      </w:r>
      <w:r>
        <w:rPr>
          <w:b/>
          <w:bCs/>
        </w:rPr>
        <w:t xml:space="preserve"> </w:t>
      </w:r>
      <w:r w:rsidR="0040345F">
        <w:rPr>
          <w:b/>
          <w:bCs/>
        </w:rPr>
        <w:t>1</w:t>
      </w:r>
      <w:r w:rsidRPr="00462F56">
        <w:rPr>
          <w:b/>
          <w:bCs/>
        </w:rPr>
        <w:t xml:space="preserve">: </w:t>
      </w:r>
      <w:r w:rsidRPr="00462F56">
        <w:t>Support multi-slot TB transmission using TB scaling with repetitions and RV cycling</w:t>
      </w:r>
      <w:r>
        <w:t>. Introduce a new scale factor that can be used to increase the TB size when determining TB size for PUSCH transmission.</w:t>
      </w:r>
    </w:p>
    <w:p w14:paraId="3D82CB1E" w14:textId="77777777" w:rsidR="00594CE1" w:rsidRDefault="00594CE1" w:rsidP="00016124">
      <w:pPr>
        <w:pStyle w:val="ListParagraph"/>
        <w:numPr>
          <w:ilvl w:val="0"/>
          <w:numId w:val="46"/>
        </w:numPr>
        <w:jc w:val="both"/>
      </w:pPr>
      <w:r>
        <w:t xml:space="preserve">FFS: permitted values for the scale factor. </w:t>
      </w:r>
    </w:p>
    <w:p w14:paraId="5DB70D52" w14:textId="77777777" w:rsidR="00594CE1" w:rsidRDefault="00594CE1" w:rsidP="00016124">
      <w:pPr>
        <w:pStyle w:val="ListParagraph"/>
        <w:numPr>
          <w:ilvl w:val="0"/>
          <w:numId w:val="46"/>
        </w:numPr>
        <w:jc w:val="both"/>
      </w:pPr>
      <w:r>
        <w:t>FFS: Signaling aspects of the scale factor.</w:t>
      </w:r>
    </w:p>
    <w:p w14:paraId="72777CE2" w14:textId="41B90152" w:rsidR="00594CE1" w:rsidRDefault="00462F56" w:rsidP="00016124">
      <w:pPr>
        <w:jc w:val="both"/>
      </w:pPr>
      <w:r w:rsidRPr="00462F56">
        <w:rPr>
          <w:b/>
          <w:bCs/>
        </w:rPr>
        <w:t>Proposal</w:t>
      </w:r>
      <w:r w:rsidR="00594CE1">
        <w:rPr>
          <w:b/>
          <w:bCs/>
        </w:rPr>
        <w:t xml:space="preserve"> </w:t>
      </w:r>
      <w:r w:rsidR="0040345F">
        <w:rPr>
          <w:b/>
          <w:bCs/>
        </w:rPr>
        <w:t>2</w:t>
      </w:r>
      <w:r w:rsidRPr="00462F56">
        <w:rPr>
          <w:b/>
          <w:bCs/>
        </w:rPr>
        <w:t xml:space="preserve">: </w:t>
      </w:r>
      <w:r w:rsidR="00594CE1" w:rsidRPr="00016124">
        <w:t xml:space="preserve">Identify constraints or conditions under which TBS scaling can be used. Constraints may include limits on RB allocation, </w:t>
      </w:r>
      <w:r w:rsidR="00594CE1">
        <w:t xml:space="preserve">MCS, </w:t>
      </w:r>
      <w:r w:rsidR="00594CE1" w:rsidRPr="00016124">
        <w:t>number of layers, TB size, number of code blocks, etc.</w:t>
      </w:r>
    </w:p>
    <w:p w14:paraId="6407BB1E" w14:textId="77777777" w:rsidR="000410E7" w:rsidRPr="002C136E" w:rsidRDefault="000410E7" w:rsidP="00016124">
      <w:pPr>
        <w:jc w:val="both"/>
        <w:rPr>
          <w:b/>
          <w:lang w:val="en-GB"/>
        </w:rPr>
      </w:pPr>
      <w:bookmarkStart w:id="4" w:name="_Hlk23927392"/>
    </w:p>
    <w:bookmarkEnd w:id="4"/>
    <w:p w14:paraId="02810CFE" w14:textId="77777777" w:rsidR="00746535" w:rsidRPr="002C136E" w:rsidRDefault="00746535" w:rsidP="00016124">
      <w:pPr>
        <w:pStyle w:val="Heading1"/>
        <w:jc w:val="both"/>
        <w:rPr>
          <w:rFonts w:ascii="Times New Roman" w:hAnsi="Times New Roman"/>
        </w:rPr>
      </w:pPr>
      <w:r w:rsidRPr="002C136E">
        <w:rPr>
          <w:rFonts w:ascii="Times New Roman" w:hAnsi="Times New Roman"/>
        </w:rPr>
        <w:t>Reference</w:t>
      </w:r>
    </w:p>
    <w:p w14:paraId="23A294BD" w14:textId="66D168B6" w:rsidR="00746535" w:rsidRPr="002C136E" w:rsidRDefault="00662FEF" w:rsidP="00223F48">
      <w:pPr>
        <w:pStyle w:val="ListParagraph"/>
        <w:numPr>
          <w:ilvl w:val="0"/>
          <w:numId w:val="25"/>
        </w:numPr>
        <w:spacing w:before="100" w:beforeAutospacing="1" w:after="100" w:afterAutospacing="1"/>
        <w:ind w:left="1350"/>
        <w:jc w:val="both"/>
        <w:textAlignment w:val="auto"/>
      </w:pPr>
      <w:bookmarkStart w:id="5" w:name="_Ref40452861"/>
      <w:r>
        <w:t xml:space="preserve"> </w:t>
      </w:r>
      <w:r w:rsidR="00824450" w:rsidRPr="00824450">
        <w:t>“New WID on NR coverage enhancements”, RP-202928, 3GPP TSG RAN meeting #90e, December 7 - 11, 2020</w:t>
      </w:r>
      <w:bookmarkEnd w:id="5"/>
    </w:p>
    <w:sectPr w:rsidR="00746535" w:rsidRPr="002C136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E6A6F" w14:textId="77777777" w:rsidR="00662FEF" w:rsidRDefault="00662FEF" w:rsidP="00746535">
      <w:pPr>
        <w:spacing w:after="0"/>
      </w:pPr>
      <w:r>
        <w:separator/>
      </w:r>
    </w:p>
  </w:endnote>
  <w:endnote w:type="continuationSeparator" w:id="0">
    <w:p w14:paraId="256C9278" w14:textId="77777777" w:rsidR="00662FEF" w:rsidRDefault="00662FEF" w:rsidP="00746535">
      <w:pPr>
        <w:spacing w:after="0"/>
      </w:pPr>
      <w:r>
        <w:continuationSeparator/>
      </w:r>
    </w:p>
  </w:endnote>
  <w:endnote w:type="continuationNotice" w:id="1">
    <w:p w14:paraId="7B8555B7" w14:textId="77777777" w:rsidR="00662FEF" w:rsidRDefault="00662F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ＭＳ 明朝"/>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4E8F6" w14:textId="77777777" w:rsidR="00662FEF" w:rsidRDefault="00662FEF" w:rsidP="00746535">
      <w:pPr>
        <w:spacing w:after="0"/>
      </w:pPr>
      <w:r>
        <w:separator/>
      </w:r>
    </w:p>
  </w:footnote>
  <w:footnote w:type="continuationSeparator" w:id="0">
    <w:p w14:paraId="71A610DC" w14:textId="77777777" w:rsidR="00662FEF" w:rsidRDefault="00662FEF" w:rsidP="00746535">
      <w:pPr>
        <w:spacing w:after="0"/>
      </w:pPr>
      <w:r>
        <w:continuationSeparator/>
      </w:r>
    </w:p>
  </w:footnote>
  <w:footnote w:type="continuationNotice" w:id="1">
    <w:p w14:paraId="10CD5C23" w14:textId="77777777" w:rsidR="00662FEF" w:rsidRDefault="00662F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7B69C7"/>
    <w:multiLevelType w:val="hybridMultilevel"/>
    <w:tmpl w:val="8A904A98"/>
    <w:lvl w:ilvl="0" w:tplc="341A2C34">
      <w:start w:val="1"/>
      <w:numFmt w:val="decimal"/>
      <w:lvlText w:val="%1."/>
      <w:lvlJc w:val="left"/>
      <w:pPr>
        <w:tabs>
          <w:tab w:val="num" w:pos="720"/>
        </w:tabs>
        <w:ind w:left="720" w:hanging="360"/>
      </w:pPr>
    </w:lvl>
    <w:lvl w:ilvl="1" w:tplc="21FACFA2">
      <w:start w:val="1"/>
      <w:numFmt w:val="decimal"/>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B5307B6A">
      <w:start w:val="1"/>
      <w:numFmt w:val="bullet"/>
      <w:lvlText w:val=""/>
      <w:lvlJc w:val="left"/>
      <w:pPr>
        <w:tabs>
          <w:tab w:val="num" w:pos="1800"/>
        </w:tabs>
        <w:ind w:left="1800" w:hanging="360"/>
      </w:pPr>
      <w:rPr>
        <w:rFonts w:ascii="Wingdings" w:hAnsi="Wingdings" w:hint="default"/>
        <w:color w:val="auto"/>
      </w:rPr>
    </w:lvl>
    <w:lvl w:ilvl="3" w:tplc="08090003">
      <w:start w:val="1"/>
      <w:numFmt w:val="bullet"/>
      <w:lvlText w:val="o"/>
      <w:lvlJc w:val="left"/>
      <w:pPr>
        <w:tabs>
          <w:tab w:val="num" w:pos="2520"/>
        </w:tabs>
        <w:ind w:left="2520" w:hanging="360"/>
      </w:pPr>
      <w:rPr>
        <w:rFonts w:ascii="Courier New" w:hAnsi="Courier New" w:cs="Courier New"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2877200"/>
    <w:multiLevelType w:val="hybridMultilevel"/>
    <w:tmpl w:val="6E7E524C"/>
    <w:lvl w:ilvl="0" w:tplc="341A2C34">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10"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55502B"/>
    <w:multiLevelType w:val="hybridMultilevel"/>
    <w:tmpl w:val="71902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856D99"/>
    <w:multiLevelType w:val="hybridMultilevel"/>
    <w:tmpl w:val="CE1A5796"/>
    <w:lvl w:ilvl="0" w:tplc="6AA82D30">
      <w:start w:val="1"/>
      <w:numFmt w:val="bullet"/>
      <w:lvlText w:val="•"/>
      <w:lvlJc w:val="left"/>
      <w:pPr>
        <w:tabs>
          <w:tab w:val="num" w:pos="720"/>
        </w:tabs>
        <w:ind w:left="720" w:hanging="360"/>
      </w:pPr>
      <w:rPr>
        <w:rFonts w:ascii="Arial" w:hAnsi="Arial" w:hint="default"/>
      </w:rPr>
    </w:lvl>
    <w:lvl w:ilvl="1" w:tplc="D848D624" w:tentative="1">
      <w:start w:val="1"/>
      <w:numFmt w:val="bullet"/>
      <w:lvlText w:val="•"/>
      <w:lvlJc w:val="left"/>
      <w:pPr>
        <w:tabs>
          <w:tab w:val="num" w:pos="1440"/>
        </w:tabs>
        <w:ind w:left="1440" w:hanging="360"/>
      </w:pPr>
      <w:rPr>
        <w:rFonts w:ascii="Arial" w:hAnsi="Arial" w:hint="default"/>
      </w:rPr>
    </w:lvl>
    <w:lvl w:ilvl="2" w:tplc="E544DED8" w:tentative="1">
      <w:start w:val="1"/>
      <w:numFmt w:val="bullet"/>
      <w:lvlText w:val="•"/>
      <w:lvlJc w:val="left"/>
      <w:pPr>
        <w:tabs>
          <w:tab w:val="num" w:pos="2160"/>
        </w:tabs>
        <w:ind w:left="2160" w:hanging="360"/>
      </w:pPr>
      <w:rPr>
        <w:rFonts w:ascii="Arial" w:hAnsi="Arial" w:hint="default"/>
      </w:rPr>
    </w:lvl>
    <w:lvl w:ilvl="3" w:tplc="A9443704" w:tentative="1">
      <w:start w:val="1"/>
      <w:numFmt w:val="bullet"/>
      <w:lvlText w:val="•"/>
      <w:lvlJc w:val="left"/>
      <w:pPr>
        <w:tabs>
          <w:tab w:val="num" w:pos="2880"/>
        </w:tabs>
        <w:ind w:left="2880" w:hanging="360"/>
      </w:pPr>
      <w:rPr>
        <w:rFonts w:ascii="Arial" w:hAnsi="Arial" w:hint="default"/>
      </w:rPr>
    </w:lvl>
    <w:lvl w:ilvl="4" w:tplc="09C04918" w:tentative="1">
      <w:start w:val="1"/>
      <w:numFmt w:val="bullet"/>
      <w:lvlText w:val="•"/>
      <w:lvlJc w:val="left"/>
      <w:pPr>
        <w:tabs>
          <w:tab w:val="num" w:pos="3600"/>
        </w:tabs>
        <w:ind w:left="3600" w:hanging="360"/>
      </w:pPr>
      <w:rPr>
        <w:rFonts w:ascii="Arial" w:hAnsi="Arial" w:hint="default"/>
      </w:rPr>
    </w:lvl>
    <w:lvl w:ilvl="5" w:tplc="B1E40024" w:tentative="1">
      <w:start w:val="1"/>
      <w:numFmt w:val="bullet"/>
      <w:lvlText w:val="•"/>
      <w:lvlJc w:val="left"/>
      <w:pPr>
        <w:tabs>
          <w:tab w:val="num" w:pos="4320"/>
        </w:tabs>
        <w:ind w:left="4320" w:hanging="360"/>
      </w:pPr>
      <w:rPr>
        <w:rFonts w:ascii="Arial" w:hAnsi="Arial" w:hint="default"/>
      </w:rPr>
    </w:lvl>
    <w:lvl w:ilvl="6" w:tplc="A8E6FB1E" w:tentative="1">
      <w:start w:val="1"/>
      <w:numFmt w:val="bullet"/>
      <w:lvlText w:val="•"/>
      <w:lvlJc w:val="left"/>
      <w:pPr>
        <w:tabs>
          <w:tab w:val="num" w:pos="5040"/>
        </w:tabs>
        <w:ind w:left="5040" w:hanging="360"/>
      </w:pPr>
      <w:rPr>
        <w:rFonts w:ascii="Arial" w:hAnsi="Arial" w:hint="default"/>
      </w:rPr>
    </w:lvl>
    <w:lvl w:ilvl="7" w:tplc="36A84C7E" w:tentative="1">
      <w:start w:val="1"/>
      <w:numFmt w:val="bullet"/>
      <w:lvlText w:val="•"/>
      <w:lvlJc w:val="left"/>
      <w:pPr>
        <w:tabs>
          <w:tab w:val="num" w:pos="5760"/>
        </w:tabs>
        <w:ind w:left="5760" w:hanging="360"/>
      </w:pPr>
      <w:rPr>
        <w:rFonts w:ascii="Arial" w:hAnsi="Arial" w:hint="default"/>
      </w:rPr>
    </w:lvl>
    <w:lvl w:ilvl="8" w:tplc="EE56F6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F1B2853"/>
    <w:multiLevelType w:val="hybridMultilevel"/>
    <w:tmpl w:val="6D607D12"/>
    <w:lvl w:ilvl="0" w:tplc="80361E22">
      <w:start w:val="1"/>
      <w:numFmt w:val="bullet"/>
      <w:lvlText w:val="•"/>
      <w:lvlJc w:val="left"/>
      <w:pPr>
        <w:tabs>
          <w:tab w:val="num" w:pos="720"/>
        </w:tabs>
        <w:ind w:left="720" w:hanging="360"/>
      </w:pPr>
      <w:rPr>
        <w:rFonts w:ascii="Arial" w:hAnsi="Arial" w:hint="default"/>
      </w:rPr>
    </w:lvl>
    <w:lvl w:ilvl="1" w:tplc="5C6861A2" w:tentative="1">
      <w:start w:val="1"/>
      <w:numFmt w:val="bullet"/>
      <w:lvlText w:val="•"/>
      <w:lvlJc w:val="left"/>
      <w:pPr>
        <w:tabs>
          <w:tab w:val="num" w:pos="1440"/>
        </w:tabs>
        <w:ind w:left="1440" w:hanging="360"/>
      </w:pPr>
      <w:rPr>
        <w:rFonts w:ascii="Arial" w:hAnsi="Arial" w:hint="default"/>
      </w:rPr>
    </w:lvl>
    <w:lvl w:ilvl="2" w:tplc="0B2A98AC" w:tentative="1">
      <w:start w:val="1"/>
      <w:numFmt w:val="bullet"/>
      <w:lvlText w:val="•"/>
      <w:lvlJc w:val="left"/>
      <w:pPr>
        <w:tabs>
          <w:tab w:val="num" w:pos="2160"/>
        </w:tabs>
        <w:ind w:left="2160" w:hanging="360"/>
      </w:pPr>
      <w:rPr>
        <w:rFonts w:ascii="Arial" w:hAnsi="Arial" w:hint="default"/>
      </w:rPr>
    </w:lvl>
    <w:lvl w:ilvl="3" w:tplc="92240212" w:tentative="1">
      <w:start w:val="1"/>
      <w:numFmt w:val="bullet"/>
      <w:lvlText w:val="•"/>
      <w:lvlJc w:val="left"/>
      <w:pPr>
        <w:tabs>
          <w:tab w:val="num" w:pos="2880"/>
        </w:tabs>
        <w:ind w:left="2880" w:hanging="360"/>
      </w:pPr>
      <w:rPr>
        <w:rFonts w:ascii="Arial" w:hAnsi="Arial" w:hint="default"/>
      </w:rPr>
    </w:lvl>
    <w:lvl w:ilvl="4" w:tplc="BDD08A90" w:tentative="1">
      <w:start w:val="1"/>
      <w:numFmt w:val="bullet"/>
      <w:lvlText w:val="•"/>
      <w:lvlJc w:val="left"/>
      <w:pPr>
        <w:tabs>
          <w:tab w:val="num" w:pos="3600"/>
        </w:tabs>
        <w:ind w:left="3600" w:hanging="360"/>
      </w:pPr>
      <w:rPr>
        <w:rFonts w:ascii="Arial" w:hAnsi="Arial" w:hint="default"/>
      </w:rPr>
    </w:lvl>
    <w:lvl w:ilvl="5" w:tplc="40B85508" w:tentative="1">
      <w:start w:val="1"/>
      <w:numFmt w:val="bullet"/>
      <w:lvlText w:val="•"/>
      <w:lvlJc w:val="left"/>
      <w:pPr>
        <w:tabs>
          <w:tab w:val="num" w:pos="4320"/>
        </w:tabs>
        <w:ind w:left="4320" w:hanging="360"/>
      </w:pPr>
      <w:rPr>
        <w:rFonts w:ascii="Arial" w:hAnsi="Arial" w:hint="default"/>
      </w:rPr>
    </w:lvl>
    <w:lvl w:ilvl="6" w:tplc="7E9ED672" w:tentative="1">
      <w:start w:val="1"/>
      <w:numFmt w:val="bullet"/>
      <w:lvlText w:val="•"/>
      <w:lvlJc w:val="left"/>
      <w:pPr>
        <w:tabs>
          <w:tab w:val="num" w:pos="5040"/>
        </w:tabs>
        <w:ind w:left="5040" w:hanging="360"/>
      </w:pPr>
      <w:rPr>
        <w:rFonts w:ascii="Arial" w:hAnsi="Arial" w:hint="default"/>
      </w:rPr>
    </w:lvl>
    <w:lvl w:ilvl="7" w:tplc="7C88DCFE" w:tentative="1">
      <w:start w:val="1"/>
      <w:numFmt w:val="bullet"/>
      <w:lvlText w:val="•"/>
      <w:lvlJc w:val="left"/>
      <w:pPr>
        <w:tabs>
          <w:tab w:val="num" w:pos="5760"/>
        </w:tabs>
        <w:ind w:left="5760" w:hanging="360"/>
      </w:pPr>
      <w:rPr>
        <w:rFonts w:ascii="Arial" w:hAnsi="Arial" w:hint="default"/>
      </w:rPr>
    </w:lvl>
    <w:lvl w:ilvl="8" w:tplc="B616DB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212052"/>
    <w:multiLevelType w:val="hybridMultilevel"/>
    <w:tmpl w:val="3A2C2C0A"/>
    <w:lvl w:ilvl="0" w:tplc="D084E7B8">
      <w:start w:val="1"/>
      <w:numFmt w:val="bullet"/>
      <w:lvlText w:val="•"/>
      <w:lvlJc w:val="left"/>
      <w:pPr>
        <w:tabs>
          <w:tab w:val="num" w:pos="720"/>
        </w:tabs>
        <w:ind w:left="720" w:hanging="360"/>
      </w:pPr>
      <w:rPr>
        <w:rFonts w:ascii="Arial" w:hAnsi="Arial" w:hint="default"/>
      </w:rPr>
    </w:lvl>
    <w:lvl w:ilvl="1" w:tplc="3462F7C0" w:tentative="1">
      <w:start w:val="1"/>
      <w:numFmt w:val="bullet"/>
      <w:lvlText w:val="•"/>
      <w:lvlJc w:val="left"/>
      <w:pPr>
        <w:tabs>
          <w:tab w:val="num" w:pos="1440"/>
        </w:tabs>
        <w:ind w:left="1440" w:hanging="360"/>
      </w:pPr>
      <w:rPr>
        <w:rFonts w:ascii="Arial" w:hAnsi="Arial" w:hint="default"/>
      </w:rPr>
    </w:lvl>
    <w:lvl w:ilvl="2" w:tplc="272E84AE" w:tentative="1">
      <w:start w:val="1"/>
      <w:numFmt w:val="bullet"/>
      <w:lvlText w:val="•"/>
      <w:lvlJc w:val="left"/>
      <w:pPr>
        <w:tabs>
          <w:tab w:val="num" w:pos="2160"/>
        </w:tabs>
        <w:ind w:left="2160" w:hanging="360"/>
      </w:pPr>
      <w:rPr>
        <w:rFonts w:ascii="Arial" w:hAnsi="Arial" w:hint="default"/>
      </w:rPr>
    </w:lvl>
    <w:lvl w:ilvl="3" w:tplc="9A5C3948" w:tentative="1">
      <w:start w:val="1"/>
      <w:numFmt w:val="bullet"/>
      <w:lvlText w:val="•"/>
      <w:lvlJc w:val="left"/>
      <w:pPr>
        <w:tabs>
          <w:tab w:val="num" w:pos="2880"/>
        </w:tabs>
        <w:ind w:left="2880" w:hanging="360"/>
      </w:pPr>
      <w:rPr>
        <w:rFonts w:ascii="Arial" w:hAnsi="Arial" w:hint="default"/>
      </w:rPr>
    </w:lvl>
    <w:lvl w:ilvl="4" w:tplc="DD189A36" w:tentative="1">
      <w:start w:val="1"/>
      <w:numFmt w:val="bullet"/>
      <w:lvlText w:val="•"/>
      <w:lvlJc w:val="left"/>
      <w:pPr>
        <w:tabs>
          <w:tab w:val="num" w:pos="3600"/>
        </w:tabs>
        <w:ind w:left="3600" w:hanging="360"/>
      </w:pPr>
      <w:rPr>
        <w:rFonts w:ascii="Arial" w:hAnsi="Arial" w:hint="default"/>
      </w:rPr>
    </w:lvl>
    <w:lvl w:ilvl="5" w:tplc="75C43F62" w:tentative="1">
      <w:start w:val="1"/>
      <w:numFmt w:val="bullet"/>
      <w:lvlText w:val="•"/>
      <w:lvlJc w:val="left"/>
      <w:pPr>
        <w:tabs>
          <w:tab w:val="num" w:pos="4320"/>
        </w:tabs>
        <w:ind w:left="4320" w:hanging="360"/>
      </w:pPr>
      <w:rPr>
        <w:rFonts w:ascii="Arial" w:hAnsi="Arial" w:hint="default"/>
      </w:rPr>
    </w:lvl>
    <w:lvl w:ilvl="6" w:tplc="027C9102" w:tentative="1">
      <w:start w:val="1"/>
      <w:numFmt w:val="bullet"/>
      <w:lvlText w:val="•"/>
      <w:lvlJc w:val="left"/>
      <w:pPr>
        <w:tabs>
          <w:tab w:val="num" w:pos="5040"/>
        </w:tabs>
        <w:ind w:left="5040" w:hanging="360"/>
      </w:pPr>
      <w:rPr>
        <w:rFonts w:ascii="Arial" w:hAnsi="Arial" w:hint="default"/>
      </w:rPr>
    </w:lvl>
    <w:lvl w:ilvl="7" w:tplc="86DE9970" w:tentative="1">
      <w:start w:val="1"/>
      <w:numFmt w:val="bullet"/>
      <w:lvlText w:val="•"/>
      <w:lvlJc w:val="left"/>
      <w:pPr>
        <w:tabs>
          <w:tab w:val="num" w:pos="5760"/>
        </w:tabs>
        <w:ind w:left="5760" w:hanging="360"/>
      </w:pPr>
      <w:rPr>
        <w:rFonts w:ascii="Arial" w:hAnsi="Arial" w:hint="default"/>
      </w:rPr>
    </w:lvl>
    <w:lvl w:ilvl="8" w:tplc="D1D67E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5CD06219"/>
    <w:multiLevelType w:val="hybridMultilevel"/>
    <w:tmpl w:val="29A64D54"/>
    <w:lvl w:ilvl="0" w:tplc="341A2C34">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FEC8F7F2" w:tentative="1">
      <w:start w:val="1"/>
      <w:numFmt w:val="decimal"/>
      <w:lvlText w:val="%3."/>
      <w:lvlJc w:val="left"/>
      <w:pPr>
        <w:tabs>
          <w:tab w:val="num" w:pos="2160"/>
        </w:tabs>
        <w:ind w:left="2160" w:hanging="360"/>
      </w:pPr>
    </w:lvl>
    <w:lvl w:ilvl="3" w:tplc="947039F0" w:tentative="1">
      <w:start w:val="1"/>
      <w:numFmt w:val="decimal"/>
      <w:lvlText w:val="%4."/>
      <w:lvlJc w:val="left"/>
      <w:pPr>
        <w:tabs>
          <w:tab w:val="num" w:pos="2880"/>
        </w:tabs>
        <w:ind w:left="2880" w:hanging="360"/>
      </w:pPr>
    </w:lvl>
    <w:lvl w:ilvl="4" w:tplc="38AC7C18" w:tentative="1">
      <w:start w:val="1"/>
      <w:numFmt w:val="decimal"/>
      <w:lvlText w:val="%5."/>
      <w:lvlJc w:val="left"/>
      <w:pPr>
        <w:tabs>
          <w:tab w:val="num" w:pos="3600"/>
        </w:tabs>
        <w:ind w:left="3600" w:hanging="360"/>
      </w:pPr>
    </w:lvl>
    <w:lvl w:ilvl="5" w:tplc="28FC9488" w:tentative="1">
      <w:start w:val="1"/>
      <w:numFmt w:val="decimal"/>
      <w:lvlText w:val="%6."/>
      <w:lvlJc w:val="left"/>
      <w:pPr>
        <w:tabs>
          <w:tab w:val="num" w:pos="4320"/>
        </w:tabs>
        <w:ind w:left="4320" w:hanging="360"/>
      </w:pPr>
    </w:lvl>
    <w:lvl w:ilvl="6" w:tplc="A6AECC54" w:tentative="1">
      <w:start w:val="1"/>
      <w:numFmt w:val="decimal"/>
      <w:lvlText w:val="%7."/>
      <w:lvlJc w:val="left"/>
      <w:pPr>
        <w:tabs>
          <w:tab w:val="num" w:pos="5040"/>
        </w:tabs>
        <w:ind w:left="5040" w:hanging="360"/>
      </w:pPr>
    </w:lvl>
    <w:lvl w:ilvl="7" w:tplc="36BC26DC" w:tentative="1">
      <w:start w:val="1"/>
      <w:numFmt w:val="decimal"/>
      <w:lvlText w:val="%8."/>
      <w:lvlJc w:val="left"/>
      <w:pPr>
        <w:tabs>
          <w:tab w:val="num" w:pos="5760"/>
        </w:tabs>
        <w:ind w:left="5760" w:hanging="360"/>
      </w:pPr>
    </w:lvl>
    <w:lvl w:ilvl="8" w:tplc="1A5CB326" w:tentative="1">
      <w:start w:val="1"/>
      <w:numFmt w:val="decimal"/>
      <w:lvlText w:val="%9."/>
      <w:lvlJc w:val="left"/>
      <w:pPr>
        <w:tabs>
          <w:tab w:val="num" w:pos="6480"/>
        </w:tabs>
        <w:ind w:left="6480" w:hanging="36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E11EDB"/>
    <w:multiLevelType w:val="hybridMultilevel"/>
    <w:tmpl w:val="D75C60CC"/>
    <w:lvl w:ilvl="0" w:tplc="FC224F44">
      <w:start w:val="1"/>
      <w:numFmt w:val="bullet"/>
      <w:lvlText w:val="•"/>
      <w:lvlJc w:val="left"/>
      <w:pPr>
        <w:tabs>
          <w:tab w:val="num" w:pos="720"/>
        </w:tabs>
        <w:ind w:left="720" w:hanging="360"/>
      </w:pPr>
      <w:rPr>
        <w:rFonts w:ascii="Arial" w:hAnsi="Arial" w:hint="default"/>
      </w:rPr>
    </w:lvl>
    <w:lvl w:ilvl="1" w:tplc="3426F728" w:tentative="1">
      <w:start w:val="1"/>
      <w:numFmt w:val="bullet"/>
      <w:lvlText w:val="•"/>
      <w:lvlJc w:val="left"/>
      <w:pPr>
        <w:tabs>
          <w:tab w:val="num" w:pos="1440"/>
        </w:tabs>
        <w:ind w:left="1440" w:hanging="360"/>
      </w:pPr>
      <w:rPr>
        <w:rFonts w:ascii="Arial" w:hAnsi="Arial" w:hint="default"/>
      </w:rPr>
    </w:lvl>
    <w:lvl w:ilvl="2" w:tplc="42C4C96C" w:tentative="1">
      <w:start w:val="1"/>
      <w:numFmt w:val="bullet"/>
      <w:lvlText w:val="•"/>
      <w:lvlJc w:val="left"/>
      <w:pPr>
        <w:tabs>
          <w:tab w:val="num" w:pos="2160"/>
        </w:tabs>
        <w:ind w:left="2160" w:hanging="360"/>
      </w:pPr>
      <w:rPr>
        <w:rFonts w:ascii="Arial" w:hAnsi="Arial" w:hint="default"/>
      </w:rPr>
    </w:lvl>
    <w:lvl w:ilvl="3" w:tplc="C96CE0D4" w:tentative="1">
      <w:start w:val="1"/>
      <w:numFmt w:val="bullet"/>
      <w:lvlText w:val="•"/>
      <w:lvlJc w:val="left"/>
      <w:pPr>
        <w:tabs>
          <w:tab w:val="num" w:pos="2880"/>
        </w:tabs>
        <w:ind w:left="2880" w:hanging="360"/>
      </w:pPr>
      <w:rPr>
        <w:rFonts w:ascii="Arial" w:hAnsi="Arial" w:hint="default"/>
      </w:rPr>
    </w:lvl>
    <w:lvl w:ilvl="4" w:tplc="B9BA8914" w:tentative="1">
      <w:start w:val="1"/>
      <w:numFmt w:val="bullet"/>
      <w:lvlText w:val="•"/>
      <w:lvlJc w:val="left"/>
      <w:pPr>
        <w:tabs>
          <w:tab w:val="num" w:pos="3600"/>
        </w:tabs>
        <w:ind w:left="3600" w:hanging="360"/>
      </w:pPr>
      <w:rPr>
        <w:rFonts w:ascii="Arial" w:hAnsi="Arial" w:hint="default"/>
      </w:rPr>
    </w:lvl>
    <w:lvl w:ilvl="5" w:tplc="6FD6D20E" w:tentative="1">
      <w:start w:val="1"/>
      <w:numFmt w:val="bullet"/>
      <w:lvlText w:val="•"/>
      <w:lvlJc w:val="left"/>
      <w:pPr>
        <w:tabs>
          <w:tab w:val="num" w:pos="4320"/>
        </w:tabs>
        <w:ind w:left="4320" w:hanging="360"/>
      </w:pPr>
      <w:rPr>
        <w:rFonts w:ascii="Arial" w:hAnsi="Arial" w:hint="default"/>
      </w:rPr>
    </w:lvl>
    <w:lvl w:ilvl="6" w:tplc="E08CE912" w:tentative="1">
      <w:start w:val="1"/>
      <w:numFmt w:val="bullet"/>
      <w:lvlText w:val="•"/>
      <w:lvlJc w:val="left"/>
      <w:pPr>
        <w:tabs>
          <w:tab w:val="num" w:pos="5040"/>
        </w:tabs>
        <w:ind w:left="5040" w:hanging="360"/>
      </w:pPr>
      <w:rPr>
        <w:rFonts w:ascii="Arial" w:hAnsi="Arial" w:hint="default"/>
      </w:rPr>
    </w:lvl>
    <w:lvl w:ilvl="7" w:tplc="15023A4A" w:tentative="1">
      <w:start w:val="1"/>
      <w:numFmt w:val="bullet"/>
      <w:lvlText w:val="•"/>
      <w:lvlJc w:val="left"/>
      <w:pPr>
        <w:tabs>
          <w:tab w:val="num" w:pos="5760"/>
        </w:tabs>
        <w:ind w:left="5760" w:hanging="360"/>
      </w:pPr>
      <w:rPr>
        <w:rFonts w:ascii="Arial" w:hAnsi="Arial" w:hint="default"/>
      </w:rPr>
    </w:lvl>
    <w:lvl w:ilvl="8" w:tplc="9B5A764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2"/>
  </w:num>
  <w:num w:numId="3">
    <w:abstractNumId w:val="45"/>
  </w:num>
  <w:num w:numId="4">
    <w:abstractNumId w:val="33"/>
  </w:num>
  <w:num w:numId="5">
    <w:abstractNumId w:val="29"/>
  </w:num>
  <w:num w:numId="6">
    <w:abstractNumId w:val="6"/>
  </w:num>
  <w:num w:numId="7">
    <w:abstractNumId w:val="43"/>
  </w:num>
  <w:num w:numId="8">
    <w:abstractNumId w:val="27"/>
  </w:num>
  <w:num w:numId="9">
    <w:abstractNumId w:val="39"/>
  </w:num>
  <w:num w:numId="10">
    <w:abstractNumId w:val="30"/>
  </w:num>
  <w:num w:numId="11">
    <w:abstractNumId w:val="20"/>
  </w:num>
  <w:num w:numId="12">
    <w:abstractNumId w:val="3"/>
  </w:num>
  <w:num w:numId="13">
    <w:abstractNumId w:val="4"/>
  </w:num>
  <w:num w:numId="14">
    <w:abstractNumId w:val="41"/>
  </w:num>
  <w:num w:numId="15">
    <w:abstractNumId w:val="0"/>
  </w:num>
  <w:num w:numId="16">
    <w:abstractNumId w:val="34"/>
  </w:num>
  <w:num w:numId="17">
    <w:abstractNumId w:val="36"/>
  </w:num>
  <w:num w:numId="18">
    <w:abstractNumId w:val="44"/>
  </w:num>
  <w:num w:numId="19">
    <w:abstractNumId w:val="21"/>
  </w:num>
  <w:num w:numId="20">
    <w:abstractNumId w:val="28"/>
  </w:num>
  <w:num w:numId="21">
    <w:abstractNumId w:val="23"/>
  </w:num>
  <w:num w:numId="22">
    <w:abstractNumId w:val="22"/>
  </w:num>
  <w:num w:numId="23">
    <w:abstractNumId w:val="19"/>
  </w:num>
  <w:num w:numId="24">
    <w:abstractNumId w:val="11"/>
  </w:num>
  <w:num w:numId="25">
    <w:abstractNumId w:val="1"/>
    <w:lvlOverride w:ilvl="0">
      <w:startOverride w:val="1"/>
    </w:lvlOverride>
  </w:num>
  <w:num w:numId="26">
    <w:abstractNumId w:val="17"/>
  </w:num>
  <w:num w:numId="27">
    <w:abstractNumId w:val="18"/>
  </w:num>
  <w:num w:numId="28">
    <w:abstractNumId w:val="7"/>
  </w:num>
  <w:num w:numId="29">
    <w:abstractNumId w:val="37"/>
  </w:num>
  <w:num w:numId="30">
    <w:abstractNumId w:val="16"/>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5"/>
  </w:num>
  <w:num w:numId="34">
    <w:abstractNumId w:val="10"/>
  </w:num>
  <w:num w:numId="35">
    <w:abstractNumId w:val="25"/>
  </w:num>
  <w:num w:numId="36">
    <w:abstractNumId w:val="12"/>
  </w:num>
  <w:num w:numId="37">
    <w:abstractNumId w:val="35"/>
  </w:num>
  <w:num w:numId="38">
    <w:abstractNumId w:val="8"/>
  </w:num>
  <w:num w:numId="39">
    <w:abstractNumId w:val="40"/>
  </w:num>
  <w:num w:numId="40">
    <w:abstractNumId w:val="31"/>
  </w:num>
  <w:num w:numId="41">
    <w:abstractNumId w:val="14"/>
  </w:num>
  <w:num w:numId="42">
    <w:abstractNumId w:val="2"/>
  </w:num>
  <w:num w:numId="43">
    <w:abstractNumId w:val="26"/>
  </w:num>
  <w:num w:numId="44">
    <w:abstractNumId w:val="38"/>
  </w:num>
  <w:num w:numId="45">
    <w:abstractNumId w:val="9"/>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13DF7"/>
    <w:rsid w:val="00016124"/>
    <w:rsid w:val="000228CC"/>
    <w:rsid w:val="000231C0"/>
    <w:rsid w:val="00027BAE"/>
    <w:rsid w:val="00033B0B"/>
    <w:rsid w:val="0003430D"/>
    <w:rsid w:val="0003720A"/>
    <w:rsid w:val="00037B94"/>
    <w:rsid w:val="000410E7"/>
    <w:rsid w:val="00045501"/>
    <w:rsid w:val="00054543"/>
    <w:rsid w:val="00054AE5"/>
    <w:rsid w:val="00055E7D"/>
    <w:rsid w:val="00062718"/>
    <w:rsid w:val="000666F8"/>
    <w:rsid w:val="00073E2D"/>
    <w:rsid w:val="00076018"/>
    <w:rsid w:val="00083372"/>
    <w:rsid w:val="0008376C"/>
    <w:rsid w:val="0008400B"/>
    <w:rsid w:val="00090F2F"/>
    <w:rsid w:val="000937F9"/>
    <w:rsid w:val="000940B2"/>
    <w:rsid w:val="000A7317"/>
    <w:rsid w:val="000A75B0"/>
    <w:rsid w:val="000B1540"/>
    <w:rsid w:val="000B3C26"/>
    <w:rsid w:val="000C2908"/>
    <w:rsid w:val="000D3E4E"/>
    <w:rsid w:val="000D4892"/>
    <w:rsid w:val="000D7297"/>
    <w:rsid w:val="000E36EC"/>
    <w:rsid w:val="000E48F2"/>
    <w:rsid w:val="000E6249"/>
    <w:rsid w:val="000F195F"/>
    <w:rsid w:val="000F5F22"/>
    <w:rsid w:val="00100C0C"/>
    <w:rsid w:val="001079CA"/>
    <w:rsid w:val="00112891"/>
    <w:rsid w:val="001216BD"/>
    <w:rsid w:val="001223F3"/>
    <w:rsid w:val="0012415D"/>
    <w:rsid w:val="00124F48"/>
    <w:rsid w:val="00127558"/>
    <w:rsid w:val="0013001B"/>
    <w:rsid w:val="001378EC"/>
    <w:rsid w:val="00137F94"/>
    <w:rsid w:val="00147337"/>
    <w:rsid w:val="0015502A"/>
    <w:rsid w:val="0016285A"/>
    <w:rsid w:val="0016496A"/>
    <w:rsid w:val="00167A2A"/>
    <w:rsid w:val="00175632"/>
    <w:rsid w:val="00180764"/>
    <w:rsid w:val="00182A76"/>
    <w:rsid w:val="00196851"/>
    <w:rsid w:val="001A110A"/>
    <w:rsid w:val="001A39C8"/>
    <w:rsid w:val="001A53F8"/>
    <w:rsid w:val="001A763F"/>
    <w:rsid w:val="001B1669"/>
    <w:rsid w:val="001B21F9"/>
    <w:rsid w:val="001B2355"/>
    <w:rsid w:val="001B50B9"/>
    <w:rsid w:val="001F7D26"/>
    <w:rsid w:val="00200759"/>
    <w:rsid w:val="002053BB"/>
    <w:rsid w:val="00205606"/>
    <w:rsid w:val="00205ACB"/>
    <w:rsid w:val="00207EBC"/>
    <w:rsid w:val="00213D5D"/>
    <w:rsid w:val="002147D1"/>
    <w:rsid w:val="00215B80"/>
    <w:rsid w:val="00216A8D"/>
    <w:rsid w:val="0022093A"/>
    <w:rsid w:val="00224BA3"/>
    <w:rsid w:val="0023415E"/>
    <w:rsid w:val="00235FDF"/>
    <w:rsid w:val="0024332F"/>
    <w:rsid w:val="00247523"/>
    <w:rsid w:val="00260FB9"/>
    <w:rsid w:val="00273C47"/>
    <w:rsid w:val="002764DD"/>
    <w:rsid w:val="00285D76"/>
    <w:rsid w:val="00292883"/>
    <w:rsid w:val="00296B3D"/>
    <w:rsid w:val="002A1728"/>
    <w:rsid w:val="002A3466"/>
    <w:rsid w:val="002A4E64"/>
    <w:rsid w:val="002A709C"/>
    <w:rsid w:val="002A7B15"/>
    <w:rsid w:val="002B1AE2"/>
    <w:rsid w:val="002B386D"/>
    <w:rsid w:val="002B4CDB"/>
    <w:rsid w:val="002B53C5"/>
    <w:rsid w:val="002C136E"/>
    <w:rsid w:val="002C225D"/>
    <w:rsid w:val="002C7E73"/>
    <w:rsid w:val="002D1318"/>
    <w:rsid w:val="002E1B20"/>
    <w:rsid w:val="002E2613"/>
    <w:rsid w:val="002F4383"/>
    <w:rsid w:val="00301906"/>
    <w:rsid w:val="00304979"/>
    <w:rsid w:val="00305DB3"/>
    <w:rsid w:val="0030770B"/>
    <w:rsid w:val="0031110E"/>
    <w:rsid w:val="003137D2"/>
    <w:rsid w:val="0031510A"/>
    <w:rsid w:val="00322F63"/>
    <w:rsid w:val="00333E72"/>
    <w:rsid w:val="003346F0"/>
    <w:rsid w:val="00342965"/>
    <w:rsid w:val="0034384E"/>
    <w:rsid w:val="0035056C"/>
    <w:rsid w:val="00363585"/>
    <w:rsid w:val="00363B9A"/>
    <w:rsid w:val="00366981"/>
    <w:rsid w:val="00366B99"/>
    <w:rsid w:val="00367345"/>
    <w:rsid w:val="00371B3A"/>
    <w:rsid w:val="0037643F"/>
    <w:rsid w:val="00376CB1"/>
    <w:rsid w:val="00377345"/>
    <w:rsid w:val="00390DD4"/>
    <w:rsid w:val="00392475"/>
    <w:rsid w:val="00397668"/>
    <w:rsid w:val="003A1C46"/>
    <w:rsid w:val="003B2E70"/>
    <w:rsid w:val="003B5254"/>
    <w:rsid w:val="003B6750"/>
    <w:rsid w:val="003B7686"/>
    <w:rsid w:val="003C1597"/>
    <w:rsid w:val="003C1E22"/>
    <w:rsid w:val="003C2F38"/>
    <w:rsid w:val="003C3641"/>
    <w:rsid w:val="003C4F56"/>
    <w:rsid w:val="003C7FA2"/>
    <w:rsid w:val="003D047C"/>
    <w:rsid w:val="003E0D33"/>
    <w:rsid w:val="003E5117"/>
    <w:rsid w:val="003F1425"/>
    <w:rsid w:val="003F214A"/>
    <w:rsid w:val="003F6B18"/>
    <w:rsid w:val="0040345F"/>
    <w:rsid w:val="00410BAC"/>
    <w:rsid w:val="00410CCF"/>
    <w:rsid w:val="00421CD2"/>
    <w:rsid w:val="004230B8"/>
    <w:rsid w:val="0042480E"/>
    <w:rsid w:val="004278C1"/>
    <w:rsid w:val="00431990"/>
    <w:rsid w:val="0043538A"/>
    <w:rsid w:val="0043698B"/>
    <w:rsid w:val="00437EB9"/>
    <w:rsid w:val="00441F88"/>
    <w:rsid w:val="004440D6"/>
    <w:rsid w:val="00450D19"/>
    <w:rsid w:val="0045185F"/>
    <w:rsid w:val="004526F4"/>
    <w:rsid w:val="00462EDF"/>
    <w:rsid w:val="00462F56"/>
    <w:rsid w:val="00473420"/>
    <w:rsid w:val="004772A1"/>
    <w:rsid w:val="004803B7"/>
    <w:rsid w:val="004914D1"/>
    <w:rsid w:val="0049677E"/>
    <w:rsid w:val="00496C2E"/>
    <w:rsid w:val="0049752F"/>
    <w:rsid w:val="004A2C9B"/>
    <w:rsid w:val="004B2F38"/>
    <w:rsid w:val="004B54D6"/>
    <w:rsid w:val="004B55DF"/>
    <w:rsid w:val="004B56F0"/>
    <w:rsid w:val="004B6301"/>
    <w:rsid w:val="004C716B"/>
    <w:rsid w:val="004D10C9"/>
    <w:rsid w:val="004D1327"/>
    <w:rsid w:val="004D3CCB"/>
    <w:rsid w:val="004E48B0"/>
    <w:rsid w:val="004E67B2"/>
    <w:rsid w:val="004F295D"/>
    <w:rsid w:val="004F4610"/>
    <w:rsid w:val="004F6AFC"/>
    <w:rsid w:val="0050049D"/>
    <w:rsid w:val="00507411"/>
    <w:rsid w:val="005152A8"/>
    <w:rsid w:val="005163CE"/>
    <w:rsid w:val="00521AA5"/>
    <w:rsid w:val="00540AE7"/>
    <w:rsid w:val="005415E2"/>
    <w:rsid w:val="00554794"/>
    <w:rsid w:val="005551B3"/>
    <w:rsid w:val="00555F24"/>
    <w:rsid w:val="00557216"/>
    <w:rsid w:val="00561B6B"/>
    <w:rsid w:val="00563E7A"/>
    <w:rsid w:val="00576517"/>
    <w:rsid w:val="00582F42"/>
    <w:rsid w:val="0059468C"/>
    <w:rsid w:val="00594CE1"/>
    <w:rsid w:val="005A28AF"/>
    <w:rsid w:val="005A33DD"/>
    <w:rsid w:val="005A5FF0"/>
    <w:rsid w:val="005B0C9C"/>
    <w:rsid w:val="005B3A24"/>
    <w:rsid w:val="005C0B6B"/>
    <w:rsid w:val="005C769E"/>
    <w:rsid w:val="005E0961"/>
    <w:rsid w:val="005E1032"/>
    <w:rsid w:val="005E5BE5"/>
    <w:rsid w:val="005F2123"/>
    <w:rsid w:val="005F534C"/>
    <w:rsid w:val="005F6F46"/>
    <w:rsid w:val="0060309C"/>
    <w:rsid w:val="0060335A"/>
    <w:rsid w:val="006069B3"/>
    <w:rsid w:val="00611CAE"/>
    <w:rsid w:val="006131D0"/>
    <w:rsid w:val="0061387D"/>
    <w:rsid w:val="006149E8"/>
    <w:rsid w:val="006156B4"/>
    <w:rsid w:val="006252CE"/>
    <w:rsid w:val="00627D12"/>
    <w:rsid w:val="006304C7"/>
    <w:rsid w:val="006312D9"/>
    <w:rsid w:val="00634C39"/>
    <w:rsid w:val="006429A1"/>
    <w:rsid w:val="006438F0"/>
    <w:rsid w:val="00645883"/>
    <w:rsid w:val="0066272D"/>
    <w:rsid w:val="0066276B"/>
    <w:rsid w:val="00662FEF"/>
    <w:rsid w:val="00663B30"/>
    <w:rsid w:val="0066409B"/>
    <w:rsid w:val="0066446C"/>
    <w:rsid w:val="00674539"/>
    <w:rsid w:val="0067530F"/>
    <w:rsid w:val="00680CA2"/>
    <w:rsid w:val="00680DA8"/>
    <w:rsid w:val="0068217D"/>
    <w:rsid w:val="006B0E0C"/>
    <w:rsid w:val="006B6672"/>
    <w:rsid w:val="006C204E"/>
    <w:rsid w:val="006C3F53"/>
    <w:rsid w:val="006D1381"/>
    <w:rsid w:val="006D28C1"/>
    <w:rsid w:val="006D3CBB"/>
    <w:rsid w:val="006D495C"/>
    <w:rsid w:val="006D764E"/>
    <w:rsid w:val="006E1B48"/>
    <w:rsid w:val="006E6DD1"/>
    <w:rsid w:val="006E6EC9"/>
    <w:rsid w:val="006F38C7"/>
    <w:rsid w:val="006F40BC"/>
    <w:rsid w:val="006F4D72"/>
    <w:rsid w:val="006F6E51"/>
    <w:rsid w:val="007047A9"/>
    <w:rsid w:val="007104FB"/>
    <w:rsid w:val="00711A57"/>
    <w:rsid w:val="007124C4"/>
    <w:rsid w:val="007138AF"/>
    <w:rsid w:val="00714628"/>
    <w:rsid w:val="00721FFC"/>
    <w:rsid w:val="0072519F"/>
    <w:rsid w:val="00732335"/>
    <w:rsid w:val="007359FC"/>
    <w:rsid w:val="0073778F"/>
    <w:rsid w:val="00740832"/>
    <w:rsid w:val="007410FD"/>
    <w:rsid w:val="007439DC"/>
    <w:rsid w:val="00746535"/>
    <w:rsid w:val="007468F1"/>
    <w:rsid w:val="00746ABA"/>
    <w:rsid w:val="00747ED4"/>
    <w:rsid w:val="007515ED"/>
    <w:rsid w:val="007556E1"/>
    <w:rsid w:val="0076488F"/>
    <w:rsid w:val="0078086F"/>
    <w:rsid w:val="00782900"/>
    <w:rsid w:val="007833A7"/>
    <w:rsid w:val="00786AC7"/>
    <w:rsid w:val="00794097"/>
    <w:rsid w:val="007A2558"/>
    <w:rsid w:val="007A701D"/>
    <w:rsid w:val="007B613E"/>
    <w:rsid w:val="007B79E2"/>
    <w:rsid w:val="007C360E"/>
    <w:rsid w:val="007D58CF"/>
    <w:rsid w:val="007D6638"/>
    <w:rsid w:val="007F3B35"/>
    <w:rsid w:val="008007E9"/>
    <w:rsid w:val="00800CD0"/>
    <w:rsid w:val="00803B87"/>
    <w:rsid w:val="00806D7A"/>
    <w:rsid w:val="00807B78"/>
    <w:rsid w:val="00810E1F"/>
    <w:rsid w:val="008117DC"/>
    <w:rsid w:val="00813DE7"/>
    <w:rsid w:val="00815CB3"/>
    <w:rsid w:val="00822AA7"/>
    <w:rsid w:val="008243A9"/>
    <w:rsid w:val="00824450"/>
    <w:rsid w:val="008410FB"/>
    <w:rsid w:val="00857E3A"/>
    <w:rsid w:val="008609B4"/>
    <w:rsid w:val="0087613F"/>
    <w:rsid w:val="00892410"/>
    <w:rsid w:val="00895EC4"/>
    <w:rsid w:val="008976E1"/>
    <w:rsid w:val="008A4299"/>
    <w:rsid w:val="008A4477"/>
    <w:rsid w:val="008A7FE8"/>
    <w:rsid w:val="008B006C"/>
    <w:rsid w:val="008B2264"/>
    <w:rsid w:val="008B6116"/>
    <w:rsid w:val="008C2E12"/>
    <w:rsid w:val="008D17C1"/>
    <w:rsid w:val="008D7A9D"/>
    <w:rsid w:val="008E0EAF"/>
    <w:rsid w:val="008E0EE9"/>
    <w:rsid w:val="008E1813"/>
    <w:rsid w:val="008F09BA"/>
    <w:rsid w:val="008F32F6"/>
    <w:rsid w:val="008F5BE4"/>
    <w:rsid w:val="008F77C6"/>
    <w:rsid w:val="00901695"/>
    <w:rsid w:val="00904C38"/>
    <w:rsid w:val="00906266"/>
    <w:rsid w:val="0092763C"/>
    <w:rsid w:val="00931EA6"/>
    <w:rsid w:val="009320D5"/>
    <w:rsid w:val="00932B8E"/>
    <w:rsid w:val="00934D80"/>
    <w:rsid w:val="0093764E"/>
    <w:rsid w:val="0094127A"/>
    <w:rsid w:val="00943773"/>
    <w:rsid w:val="009447F6"/>
    <w:rsid w:val="0094699A"/>
    <w:rsid w:val="00951051"/>
    <w:rsid w:val="009522CE"/>
    <w:rsid w:val="009531D3"/>
    <w:rsid w:val="009565AF"/>
    <w:rsid w:val="00956D39"/>
    <w:rsid w:val="00957DC7"/>
    <w:rsid w:val="00962883"/>
    <w:rsid w:val="00964AF1"/>
    <w:rsid w:val="00966C7B"/>
    <w:rsid w:val="009712B1"/>
    <w:rsid w:val="009761D3"/>
    <w:rsid w:val="009909BF"/>
    <w:rsid w:val="00994513"/>
    <w:rsid w:val="00995E87"/>
    <w:rsid w:val="009A193B"/>
    <w:rsid w:val="009A1EFD"/>
    <w:rsid w:val="009A22AE"/>
    <w:rsid w:val="009C46F8"/>
    <w:rsid w:val="009C52E6"/>
    <w:rsid w:val="009D299F"/>
    <w:rsid w:val="009D2ECE"/>
    <w:rsid w:val="009D3364"/>
    <w:rsid w:val="009E09EA"/>
    <w:rsid w:val="009E2F82"/>
    <w:rsid w:val="009E6142"/>
    <w:rsid w:val="009E7305"/>
    <w:rsid w:val="009F1389"/>
    <w:rsid w:val="009F4343"/>
    <w:rsid w:val="009F485D"/>
    <w:rsid w:val="009F7E80"/>
    <w:rsid w:val="00A009B2"/>
    <w:rsid w:val="00A03B93"/>
    <w:rsid w:val="00A116F3"/>
    <w:rsid w:val="00A1257C"/>
    <w:rsid w:val="00A1296F"/>
    <w:rsid w:val="00A20F64"/>
    <w:rsid w:val="00A23FDB"/>
    <w:rsid w:val="00A245A4"/>
    <w:rsid w:val="00A30E57"/>
    <w:rsid w:val="00A4372A"/>
    <w:rsid w:val="00A471DD"/>
    <w:rsid w:val="00A51892"/>
    <w:rsid w:val="00A559FB"/>
    <w:rsid w:val="00A61F99"/>
    <w:rsid w:val="00A62DC0"/>
    <w:rsid w:val="00A62F46"/>
    <w:rsid w:val="00A65FDA"/>
    <w:rsid w:val="00A87C2B"/>
    <w:rsid w:val="00A91472"/>
    <w:rsid w:val="00A92638"/>
    <w:rsid w:val="00A9321F"/>
    <w:rsid w:val="00A93F78"/>
    <w:rsid w:val="00A97F1A"/>
    <w:rsid w:val="00AB1B29"/>
    <w:rsid w:val="00AC1CBE"/>
    <w:rsid w:val="00AC6DEC"/>
    <w:rsid w:val="00AC7489"/>
    <w:rsid w:val="00AD2B31"/>
    <w:rsid w:val="00AD4509"/>
    <w:rsid w:val="00AF275E"/>
    <w:rsid w:val="00B04BAB"/>
    <w:rsid w:val="00B1655A"/>
    <w:rsid w:val="00B27123"/>
    <w:rsid w:val="00B275E2"/>
    <w:rsid w:val="00B27AD3"/>
    <w:rsid w:val="00B34EBA"/>
    <w:rsid w:val="00B44098"/>
    <w:rsid w:val="00B46671"/>
    <w:rsid w:val="00B57C90"/>
    <w:rsid w:val="00B62098"/>
    <w:rsid w:val="00B64E95"/>
    <w:rsid w:val="00B65198"/>
    <w:rsid w:val="00B6747F"/>
    <w:rsid w:val="00B708EF"/>
    <w:rsid w:val="00B74161"/>
    <w:rsid w:val="00B743EA"/>
    <w:rsid w:val="00B76B2C"/>
    <w:rsid w:val="00B87F86"/>
    <w:rsid w:val="00B9006A"/>
    <w:rsid w:val="00B9133F"/>
    <w:rsid w:val="00B944EF"/>
    <w:rsid w:val="00BA10B3"/>
    <w:rsid w:val="00BA356E"/>
    <w:rsid w:val="00BB16D7"/>
    <w:rsid w:val="00BB62C1"/>
    <w:rsid w:val="00BC1530"/>
    <w:rsid w:val="00BC1EAA"/>
    <w:rsid w:val="00BC4293"/>
    <w:rsid w:val="00BC4A0C"/>
    <w:rsid w:val="00BC5B1A"/>
    <w:rsid w:val="00BD1EF3"/>
    <w:rsid w:val="00BD27F3"/>
    <w:rsid w:val="00BD36DA"/>
    <w:rsid w:val="00BD4DF5"/>
    <w:rsid w:val="00BD7640"/>
    <w:rsid w:val="00BD7A22"/>
    <w:rsid w:val="00BE04D4"/>
    <w:rsid w:val="00BE3378"/>
    <w:rsid w:val="00BE4F87"/>
    <w:rsid w:val="00BE71B7"/>
    <w:rsid w:val="00BE7C22"/>
    <w:rsid w:val="00BF0F65"/>
    <w:rsid w:val="00BF2BC6"/>
    <w:rsid w:val="00BF3D78"/>
    <w:rsid w:val="00C00294"/>
    <w:rsid w:val="00C03B4D"/>
    <w:rsid w:val="00C10BDE"/>
    <w:rsid w:val="00C14406"/>
    <w:rsid w:val="00C25ECC"/>
    <w:rsid w:val="00C267FF"/>
    <w:rsid w:val="00C30629"/>
    <w:rsid w:val="00C3353D"/>
    <w:rsid w:val="00C356F4"/>
    <w:rsid w:val="00C3625E"/>
    <w:rsid w:val="00C37C05"/>
    <w:rsid w:val="00C40DAA"/>
    <w:rsid w:val="00C4570A"/>
    <w:rsid w:val="00C463CB"/>
    <w:rsid w:val="00C477E4"/>
    <w:rsid w:val="00C50B43"/>
    <w:rsid w:val="00C54480"/>
    <w:rsid w:val="00C545E2"/>
    <w:rsid w:val="00C64487"/>
    <w:rsid w:val="00C66ADC"/>
    <w:rsid w:val="00C67790"/>
    <w:rsid w:val="00C67974"/>
    <w:rsid w:val="00C71071"/>
    <w:rsid w:val="00C71211"/>
    <w:rsid w:val="00C716AA"/>
    <w:rsid w:val="00C72AC4"/>
    <w:rsid w:val="00C803BF"/>
    <w:rsid w:val="00C810CB"/>
    <w:rsid w:val="00C83D78"/>
    <w:rsid w:val="00C93DE0"/>
    <w:rsid w:val="00CA1D58"/>
    <w:rsid w:val="00CA4E54"/>
    <w:rsid w:val="00CA6468"/>
    <w:rsid w:val="00CA785A"/>
    <w:rsid w:val="00CC0B59"/>
    <w:rsid w:val="00CC6DF7"/>
    <w:rsid w:val="00CD011F"/>
    <w:rsid w:val="00CD0C3C"/>
    <w:rsid w:val="00CD1A59"/>
    <w:rsid w:val="00CD6108"/>
    <w:rsid w:val="00CD64B3"/>
    <w:rsid w:val="00CD7305"/>
    <w:rsid w:val="00CE36EB"/>
    <w:rsid w:val="00CE5778"/>
    <w:rsid w:val="00CF0BF1"/>
    <w:rsid w:val="00CF651F"/>
    <w:rsid w:val="00CF6905"/>
    <w:rsid w:val="00D0418E"/>
    <w:rsid w:val="00D061C5"/>
    <w:rsid w:val="00D06530"/>
    <w:rsid w:val="00D07847"/>
    <w:rsid w:val="00D11F72"/>
    <w:rsid w:val="00D13B30"/>
    <w:rsid w:val="00D14F38"/>
    <w:rsid w:val="00D27C68"/>
    <w:rsid w:val="00D320A2"/>
    <w:rsid w:val="00D34DF2"/>
    <w:rsid w:val="00D416B4"/>
    <w:rsid w:val="00D437B5"/>
    <w:rsid w:val="00D50538"/>
    <w:rsid w:val="00D52C88"/>
    <w:rsid w:val="00D62411"/>
    <w:rsid w:val="00D643C0"/>
    <w:rsid w:val="00D650EB"/>
    <w:rsid w:val="00D6546F"/>
    <w:rsid w:val="00D675BC"/>
    <w:rsid w:val="00D70504"/>
    <w:rsid w:val="00D7064E"/>
    <w:rsid w:val="00D7086E"/>
    <w:rsid w:val="00D74914"/>
    <w:rsid w:val="00D764E9"/>
    <w:rsid w:val="00D80BC1"/>
    <w:rsid w:val="00D824B7"/>
    <w:rsid w:val="00D840E8"/>
    <w:rsid w:val="00D84CD2"/>
    <w:rsid w:val="00D928A1"/>
    <w:rsid w:val="00D9584E"/>
    <w:rsid w:val="00D96C5B"/>
    <w:rsid w:val="00DA016E"/>
    <w:rsid w:val="00DA49E7"/>
    <w:rsid w:val="00DA7DD6"/>
    <w:rsid w:val="00DB1C0E"/>
    <w:rsid w:val="00DB531B"/>
    <w:rsid w:val="00DC0CD9"/>
    <w:rsid w:val="00DC5414"/>
    <w:rsid w:val="00DC5EB9"/>
    <w:rsid w:val="00DC6EAB"/>
    <w:rsid w:val="00DC7134"/>
    <w:rsid w:val="00DD4550"/>
    <w:rsid w:val="00DD69FD"/>
    <w:rsid w:val="00DE2926"/>
    <w:rsid w:val="00DE74EA"/>
    <w:rsid w:val="00DF1D01"/>
    <w:rsid w:val="00DF54DD"/>
    <w:rsid w:val="00DF6030"/>
    <w:rsid w:val="00DF6E70"/>
    <w:rsid w:val="00E01FF8"/>
    <w:rsid w:val="00E032B0"/>
    <w:rsid w:val="00E06688"/>
    <w:rsid w:val="00E07788"/>
    <w:rsid w:val="00E12985"/>
    <w:rsid w:val="00E1573D"/>
    <w:rsid w:val="00E1751D"/>
    <w:rsid w:val="00E22CBF"/>
    <w:rsid w:val="00E238D0"/>
    <w:rsid w:val="00E32BFB"/>
    <w:rsid w:val="00E364EE"/>
    <w:rsid w:val="00E41DC6"/>
    <w:rsid w:val="00E42DF7"/>
    <w:rsid w:val="00E455AF"/>
    <w:rsid w:val="00E53A2A"/>
    <w:rsid w:val="00E57572"/>
    <w:rsid w:val="00E629BB"/>
    <w:rsid w:val="00E65D8E"/>
    <w:rsid w:val="00E669B0"/>
    <w:rsid w:val="00E67437"/>
    <w:rsid w:val="00E678DE"/>
    <w:rsid w:val="00E71774"/>
    <w:rsid w:val="00E766CF"/>
    <w:rsid w:val="00E905B7"/>
    <w:rsid w:val="00E95265"/>
    <w:rsid w:val="00EA0189"/>
    <w:rsid w:val="00EA510D"/>
    <w:rsid w:val="00EB3B02"/>
    <w:rsid w:val="00EC538C"/>
    <w:rsid w:val="00ED13E3"/>
    <w:rsid w:val="00ED2945"/>
    <w:rsid w:val="00ED45E2"/>
    <w:rsid w:val="00ED6662"/>
    <w:rsid w:val="00ED7FAA"/>
    <w:rsid w:val="00EE0670"/>
    <w:rsid w:val="00EF0716"/>
    <w:rsid w:val="00EF1923"/>
    <w:rsid w:val="00F007E2"/>
    <w:rsid w:val="00F04F6C"/>
    <w:rsid w:val="00F07053"/>
    <w:rsid w:val="00F11D3C"/>
    <w:rsid w:val="00F13199"/>
    <w:rsid w:val="00F15D3A"/>
    <w:rsid w:val="00F21DE7"/>
    <w:rsid w:val="00F22190"/>
    <w:rsid w:val="00F2284D"/>
    <w:rsid w:val="00F253D2"/>
    <w:rsid w:val="00F2661C"/>
    <w:rsid w:val="00F340E0"/>
    <w:rsid w:val="00F438B8"/>
    <w:rsid w:val="00F50563"/>
    <w:rsid w:val="00F50886"/>
    <w:rsid w:val="00F50A9F"/>
    <w:rsid w:val="00F52F34"/>
    <w:rsid w:val="00F53E0E"/>
    <w:rsid w:val="00F5436E"/>
    <w:rsid w:val="00F63DA3"/>
    <w:rsid w:val="00F65A25"/>
    <w:rsid w:val="00F67A42"/>
    <w:rsid w:val="00F7755C"/>
    <w:rsid w:val="00F77789"/>
    <w:rsid w:val="00F803D5"/>
    <w:rsid w:val="00F834DF"/>
    <w:rsid w:val="00F92D4C"/>
    <w:rsid w:val="00F9780C"/>
    <w:rsid w:val="00FA0573"/>
    <w:rsid w:val="00FA6806"/>
    <w:rsid w:val="00FB3BD6"/>
    <w:rsid w:val="00FC1708"/>
    <w:rsid w:val="00FC24C1"/>
    <w:rsid w:val="00FC2829"/>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88694569">
      <w:bodyDiv w:val="1"/>
      <w:marLeft w:val="0"/>
      <w:marRight w:val="0"/>
      <w:marTop w:val="0"/>
      <w:marBottom w:val="0"/>
      <w:divBdr>
        <w:top w:val="none" w:sz="0" w:space="0" w:color="auto"/>
        <w:left w:val="none" w:sz="0" w:space="0" w:color="auto"/>
        <w:bottom w:val="none" w:sz="0" w:space="0" w:color="auto"/>
        <w:right w:val="none" w:sz="0" w:space="0" w:color="auto"/>
      </w:divBdr>
    </w:div>
    <w:div w:id="98525081">
      <w:bodyDiv w:val="1"/>
      <w:marLeft w:val="0"/>
      <w:marRight w:val="0"/>
      <w:marTop w:val="0"/>
      <w:marBottom w:val="0"/>
      <w:divBdr>
        <w:top w:val="none" w:sz="0" w:space="0" w:color="auto"/>
        <w:left w:val="none" w:sz="0" w:space="0" w:color="auto"/>
        <w:bottom w:val="none" w:sz="0" w:space="0" w:color="auto"/>
        <w:right w:val="none" w:sz="0" w:space="0" w:color="auto"/>
      </w:divBdr>
      <w:divsChild>
        <w:div w:id="1318192935">
          <w:marLeft w:val="547"/>
          <w:marRight w:val="0"/>
          <w:marTop w:val="240"/>
          <w:marBottom w:val="0"/>
          <w:divBdr>
            <w:top w:val="none" w:sz="0" w:space="0" w:color="auto"/>
            <w:left w:val="none" w:sz="0" w:space="0" w:color="auto"/>
            <w:bottom w:val="none" w:sz="0" w:space="0" w:color="auto"/>
            <w:right w:val="none" w:sz="0" w:space="0" w:color="auto"/>
          </w:divBdr>
        </w:div>
        <w:div w:id="1604873696">
          <w:marLeft w:val="1267"/>
          <w:marRight w:val="0"/>
          <w:marTop w:val="0"/>
          <w:marBottom w:val="0"/>
          <w:divBdr>
            <w:top w:val="none" w:sz="0" w:space="0" w:color="auto"/>
            <w:left w:val="none" w:sz="0" w:space="0" w:color="auto"/>
            <w:bottom w:val="none" w:sz="0" w:space="0" w:color="auto"/>
            <w:right w:val="none" w:sz="0" w:space="0" w:color="auto"/>
          </w:divBdr>
        </w:div>
        <w:div w:id="511604907">
          <w:marLeft w:val="547"/>
          <w:marRight w:val="0"/>
          <w:marTop w:val="240"/>
          <w:marBottom w:val="0"/>
          <w:divBdr>
            <w:top w:val="none" w:sz="0" w:space="0" w:color="auto"/>
            <w:left w:val="none" w:sz="0" w:space="0" w:color="auto"/>
            <w:bottom w:val="none" w:sz="0" w:space="0" w:color="auto"/>
            <w:right w:val="none" w:sz="0" w:space="0" w:color="auto"/>
          </w:divBdr>
        </w:div>
        <w:div w:id="211503854">
          <w:marLeft w:val="720"/>
          <w:marRight w:val="0"/>
          <w:marTop w:val="240"/>
          <w:marBottom w:val="0"/>
          <w:divBdr>
            <w:top w:val="none" w:sz="0" w:space="0" w:color="auto"/>
            <w:left w:val="none" w:sz="0" w:space="0" w:color="auto"/>
            <w:bottom w:val="none" w:sz="0" w:space="0" w:color="auto"/>
            <w:right w:val="none" w:sz="0" w:space="0" w:color="auto"/>
          </w:divBdr>
        </w:div>
        <w:div w:id="212041575">
          <w:marLeft w:val="720"/>
          <w:marRight w:val="0"/>
          <w:marTop w:val="240"/>
          <w:marBottom w:val="0"/>
          <w:divBdr>
            <w:top w:val="none" w:sz="0" w:space="0" w:color="auto"/>
            <w:left w:val="none" w:sz="0" w:space="0" w:color="auto"/>
            <w:bottom w:val="none" w:sz="0" w:space="0" w:color="auto"/>
            <w:right w:val="none" w:sz="0" w:space="0" w:color="auto"/>
          </w:divBdr>
        </w:div>
        <w:div w:id="7028881">
          <w:marLeft w:val="1440"/>
          <w:marRight w:val="0"/>
          <w:marTop w:val="0"/>
          <w:marBottom w:val="0"/>
          <w:divBdr>
            <w:top w:val="none" w:sz="0" w:space="0" w:color="auto"/>
            <w:left w:val="none" w:sz="0" w:space="0" w:color="auto"/>
            <w:bottom w:val="none" w:sz="0" w:space="0" w:color="auto"/>
            <w:right w:val="none" w:sz="0" w:space="0" w:color="auto"/>
          </w:divBdr>
        </w:div>
        <w:div w:id="546642434">
          <w:marLeft w:val="1440"/>
          <w:marRight w:val="0"/>
          <w:marTop w:val="0"/>
          <w:marBottom w:val="0"/>
          <w:divBdr>
            <w:top w:val="none" w:sz="0" w:space="0" w:color="auto"/>
            <w:left w:val="none" w:sz="0" w:space="0" w:color="auto"/>
            <w:bottom w:val="none" w:sz="0" w:space="0" w:color="auto"/>
            <w:right w:val="none" w:sz="0" w:space="0" w:color="auto"/>
          </w:divBdr>
        </w:div>
        <w:div w:id="1222983509">
          <w:marLeft w:val="216"/>
          <w:marRight w:val="0"/>
          <w:marTop w:val="240"/>
          <w:marBottom w:val="0"/>
          <w:divBdr>
            <w:top w:val="none" w:sz="0" w:space="0" w:color="auto"/>
            <w:left w:val="none" w:sz="0" w:space="0" w:color="auto"/>
            <w:bottom w:val="none" w:sz="0" w:space="0" w:color="auto"/>
            <w:right w:val="none" w:sz="0" w:space="0" w:color="auto"/>
          </w:divBdr>
        </w:div>
        <w:div w:id="873806589">
          <w:marLeft w:val="216"/>
          <w:marRight w:val="0"/>
          <w:marTop w:val="240"/>
          <w:marBottom w:val="0"/>
          <w:divBdr>
            <w:top w:val="none" w:sz="0" w:space="0" w:color="auto"/>
            <w:left w:val="none" w:sz="0" w:space="0" w:color="auto"/>
            <w:bottom w:val="none" w:sz="0" w:space="0" w:color="auto"/>
            <w:right w:val="none" w:sz="0" w:space="0" w:color="auto"/>
          </w:divBdr>
        </w:div>
      </w:divsChild>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18213873">
      <w:bodyDiv w:val="1"/>
      <w:marLeft w:val="0"/>
      <w:marRight w:val="0"/>
      <w:marTop w:val="0"/>
      <w:marBottom w:val="0"/>
      <w:divBdr>
        <w:top w:val="none" w:sz="0" w:space="0" w:color="auto"/>
        <w:left w:val="none" w:sz="0" w:space="0" w:color="auto"/>
        <w:bottom w:val="none" w:sz="0" w:space="0" w:color="auto"/>
        <w:right w:val="none" w:sz="0" w:space="0" w:color="auto"/>
      </w:divBdr>
      <w:divsChild>
        <w:div w:id="400370405">
          <w:marLeft w:val="216"/>
          <w:marRight w:val="0"/>
          <w:marTop w:val="24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312372690">
      <w:bodyDiv w:val="1"/>
      <w:marLeft w:val="0"/>
      <w:marRight w:val="0"/>
      <w:marTop w:val="0"/>
      <w:marBottom w:val="0"/>
      <w:divBdr>
        <w:top w:val="none" w:sz="0" w:space="0" w:color="auto"/>
        <w:left w:val="none" w:sz="0" w:space="0" w:color="auto"/>
        <w:bottom w:val="none" w:sz="0" w:space="0" w:color="auto"/>
        <w:right w:val="none" w:sz="0" w:space="0" w:color="auto"/>
      </w:divBdr>
      <w:divsChild>
        <w:div w:id="1614551447">
          <w:marLeft w:val="216"/>
          <w:marRight w:val="0"/>
          <w:marTop w:val="240"/>
          <w:marBottom w:val="0"/>
          <w:divBdr>
            <w:top w:val="none" w:sz="0" w:space="0" w:color="auto"/>
            <w:left w:val="none" w:sz="0" w:space="0" w:color="auto"/>
            <w:bottom w:val="none" w:sz="0" w:space="0" w:color="auto"/>
            <w:right w:val="none" w:sz="0" w:space="0" w:color="auto"/>
          </w:divBdr>
        </w:div>
      </w:divsChild>
    </w:div>
    <w:div w:id="1352679936">
      <w:bodyDiv w:val="1"/>
      <w:marLeft w:val="0"/>
      <w:marRight w:val="0"/>
      <w:marTop w:val="0"/>
      <w:marBottom w:val="0"/>
      <w:divBdr>
        <w:top w:val="none" w:sz="0" w:space="0" w:color="auto"/>
        <w:left w:val="none" w:sz="0" w:space="0" w:color="auto"/>
        <w:bottom w:val="none" w:sz="0" w:space="0" w:color="auto"/>
        <w:right w:val="none" w:sz="0" w:space="0" w:color="auto"/>
      </w:divBdr>
      <w:divsChild>
        <w:div w:id="95830850">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2021-01-18T23:40:00Z</dcterms:created>
  <dcterms:modified xsi:type="dcterms:W3CDTF">2021-01-18T23:41:00Z</dcterms:modified>
</cp:coreProperties>
</file>